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sz w:val="16"/>
          <w:szCs w:val="16"/>
        </w:rPr>
        <w:t xml:space="preserve"/>
      </w:r>
    </w:p>
    <w:p>
      <w:pPr>
        <w:spacing w:after="80"/>
        <w:jc w:val="center"/>
      </w:pPr>
      <w:r>
        <w:rPr>
          <w:rFonts w:ascii="Calibri" w:cs="Calibri" w:eastAsia="Calibri" w:hAnsi="Calibri"/>
          <w:b/>
          <w:bCs/>
          <w:color w:val="0A3622"/>
          <w:spacing w:val="80"/>
          <w:sz w:val="20"/>
          <w:szCs w:val="20"/>
        </w:rPr>
        <w:t xml:space="preserve">RÉPUBLIQUE DE GUINÉE</w:t>
      </w:r>
    </w:p>
    <w:p>
      <w:pPr>
        <w:spacing w:after="40"/>
        <w:jc w:val="center"/>
      </w:pPr>
      <w:r>
        <w:rPr>
          <w:rFonts w:ascii="Calibri" w:cs="Calibri" w:eastAsia="Calibri" w:hAnsi="Calibri"/>
          <w:i/>
          <w:iCs/>
          <w:color w:val="5A5F5C"/>
          <w:sz w:val="20"/>
          <w:szCs w:val="20"/>
        </w:rPr>
        <w:t xml:space="preserve">Ministère de la Santé et de l'Hygiène Publique</w:t>
      </w:r>
    </w:p>
    <w:p>
      <w:pPr>
        <w:spacing w:after="600"/>
        <w:jc w:val="center"/>
      </w:pPr>
      <w:r>
        <w:rPr>
          <w:rFonts w:ascii="Calibri" w:cs="Calibri" w:eastAsia="Calibri" w:hAnsi="Calibri"/>
          <w:i/>
          <w:iCs/>
          <w:color w:val="8B6508"/>
          <w:sz w:val="18"/>
          <w:szCs w:val="18"/>
        </w:rPr>
        <w:t xml:space="preserve">Travail · Justice · Solidarité</w:t>
      </w:r>
    </w:p>
    <w:p>
      <w:pPr>
        <w:spacing w:after="200"/>
        <w:jc w:val="center"/>
      </w:pPr>
      <w:r>
        <w:rPr>
          <w:rFonts w:ascii="Calibri" w:cs="Calibri" w:eastAsia="Calibri" w:hAnsi="Calibri"/>
          <w:b/>
          <w:bCs/>
          <w:color w:val="B8860B"/>
          <w:spacing w:val="120"/>
          <w:sz w:val="22"/>
          <w:szCs w:val="22"/>
        </w:rPr>
        <w:t xml:space="preserve">PLATEFORME NATIONALE</w:t>
      </w:r>
    </w:p>
    <w:p>
      <w:pPr>
        <w:spacing w:after="40"/>
        <w:jc w:val="center"/>
      </w:pPr>
      <w:r>
        <w:rPr>
          <w:rFonts w:ascii="Calibri" w:cs="Calibri" w:eastAsia="Calibri" w:hAnsi="Calibri"/>
          <w:b/>
          <w:bCs/>
          <w:color w:val="0A3622"/>
          <w:sz w:val="56"/>
          <w:szCs w:val="56"/>
        </w:rPr>
        <w:t xml:space="preserve">Couverture Maladie</w:t>
      </w:r>
    </w:p>
    <w:p>
      <w:pPr>
        <w:spacing w:after="600"/>
        <w:jc w:val="center"/>
      </w:pPr>
      <w:r>
        <w:rPr>
          <w:rFonts w:ascii="Calibri" w:cs="Calibri" w:eastAsia="Calibri" w:hAnsi="Calibri"/>
          <w:b/>
          <w:bCs/>
          <w:i/>
          <w:iCs/>
          <w:color w:val="B8860B"/>
          <w:sz w:val="56"/>
          <w:szCs w:val="56"/>
        </w:rPr>
        <w:t xml:space="preserve">Universelle</w:t>
      </w:r>
    </w:p>
    <w:p>
      <w:pPr>
        <w:pBdr>
          <w:bottom w:val="single" w:color="C9A227" w:sz="12" w:space="4"/>
        </w:pBdr>
        <w:spacing w:after="240"/>
        <w:jc w:val="center"/>
      </w:pPr>
      <w:r>
        <w:rPr>
          <w:rFonts w:ascii="Calibri" w:cs="Calibri" w:eastAsia="Calibri" w:hAnsi="Calibri"/>
          <w:sz w:val="20"/>
          <w:szCs w:val="20"/>
        </w:rPr>
        <w:t xml:space="preserve"/>
      </w:r>
    </w:p>
    <w:p>
      <w:pPr>
        <w:spacing w:after="80"/>
        <w:jc w:val="center"/>
      </w:pPr>
      <w:r>
        <w:rPr>
          <w:rFonts w:ascii="Calibri" w:cs="Calibri" w:eastAsia="Calibri" w:hAnsi="Calibri"/>
          <w:color w:val="0F4A2E"/>
          <w:sz w:val="32"/>
          <w:szCs w:val="32"/>
        </w:rPr>
        <w:t xml:space="preserve">Spécification technique</w:t>
      </w:r>
    </w:p>
    <w:p>
      <w:pPr>
        <w:spacing w:after="800"/>
        <w:jc w:val="center"/>
      </w:pPr>
      <w:r>
        <w:rPr>
          <w:rFonts w:ascii="Calibri" w:cs="Calibri" w:eastAsia="Calibri" w:hAnsi="Calibri"/>
          <w:i/>
          <w:iCs/>
          <w:color w:val="5A5F5C"/>
          <w:sz w:val="20"/>
          <w:szCs w:val="20"/>
        </w:rPr>
        <w:t xml:space="preserve">Règles métier · Modèle de données · Workflows · Intégration SIH</w:t>
      </w:r>
    </w:p>
    <w:tbl>
      <w:tblPr>
        <w:tblW w:type="dxa" w:w="7920"/>
        <w:jc w:val="center"/>
        <w:tblBorders>
          <w:top w:val="single" w:color="FDF6E3" w:sz="4"/>
          <w:left w:val="single" w:color="C9A227" w:sz="16"/>
          <w:bottom w:val="single" w:color="FDF6E3" w:sz="4"/>
          <w:right w:val="single" w:color="FDF6E3" w:sz="4"/>
          <w:insideH w:val="none" w:color="FFFFFF" w:sz="0"/>
          <w:insideV w:val="none" w:color="FFFFFF" w:sz="0"/>
        </w:tblBorders>
      </w:tblPr>
      <w:tblGrid>
        <w:gridCol w:w="7920"/>
      </w:tblGrid>
      <w:tr>
        <w:tc>
          <w:tcPr>
            <w:tcW w:type="dxa" w:w="7920"/>
            <w:shd w:fill="FEFBF0" w:val="clear"/>
            <w:tcMar>
              <w:top w:type="dxa" w:w="240"/>
              <w:left w:type="dxa" w:w="320"/>
              <w:bottom w:type="dxa" w:w="240"/>
              <w:right w:type="dxa" w:w="320"/>
            </w:tcMar>
          </w:tcPr>
          <w:p>
            <w:pPr>
              <w:spacing w:after="80"/>
            </w:pPr>
            <w:r>
              <w:rPr>
                <w:rFonts w:ascii="Calibri" w:cs="Calibri" w:eastAsia="Calibri" w:hAnsi="Calibri"/>
                <w:b/>
                <w:bCs/>
                <w:color w:val="5A5F5C"/>
                <w:spacing w:val="40"/>
                <w:sz w:val="18"/>
                <w:szCs w:val="18"/>
              </w:rPr>
              <w:t xml:space="preserve">Opérateur technique </w:t>
            </w:r>
            <w:r>
              <w:rPr>
                <w:rFonts w:ascii="Calibri" w:cs="Calibri" w:eastAsia="Calibri" w:hAnsi="Calibri"/>
                <w:b/>
                <w:bCs/>
                <w:color w:val="0A3622"/>
                <w:sz w:val="22"/>
                <w:szCs w:val="22"/>
              </w:rPr>
              <w:t xml:space="preserve">  e-MSanté SARL</w:t>
            </w:r>
          </w:p>
          <w:p>
            <w:pPr>
              <w:spacing w:after="80"/>
            </w:pPr>
            <w:r>
              <w:rPr>
                <w:rFonts w:ascii="Calibri" w:cs="Calibri" w:eastAsia="Calibri" w:hAnsi="Calibri"/>
                <w:b/>
                <w:bCs/>
                <w:color w:val="5A5F5C"/>
                <w:spacing w:val="40"/>
                <w:sz w:val="18"/>
                <w:szCs w:val="18"/>
              </w:rPr>
              <w:t xml:space="preserve">Version  </w:t>
            </w:r>
            <w:r>
              <w:rPr>
                <w:rFonts w:ascii="Calibri" w:cs="Calibri" w:eastAsia="Calibri" w:hAnsi="Calibri"/>
                <w:color w:val="2D332F"/>
                <w:sz w:val="22"/>
                <w:szCs w:val="22"/>
              </w:rPr>
              <w:t xml:space="preserve">1.0 — 23 avril 2026</w:t>
            </w:r>
          </w:p>
          <w:p>
            <w:pPr>
              <w:spacing w:after="80"/>
            </w:pPr>
            <w:r>
              <w:rPr>
                <w:rFonts w:ascii="Calibri" w:cs="Calibri" w:eastAsia="Calibri" w:hAnsi="Calibri"/>
                <w:b/>
                <w:bCs/>
                <w:color w:val="5A5F5C"/>
                <w:spacing w:val="40"/>
                <w:sz w:val="18"/>
                <w:szCs w:val="18"/>
              </w:rPr>
              <w:t xml:space="preserve">Rédacteur  </w:t>
            </w:r>
            <w:r>
              <w:rPr>
                <w:rFonts w:ascii="Calibri" w:cs="Calibri" w:eastAsia="Calibri" w:hAnsi="Calibri"/>
                <w:color w:val="2D332F"/>
                <w:sz w:val="22"/>
                <w:szCs w:val="22"/>
              </w:rPr>
              <w:t xml:space="preserve">OLYMPE — Département ingénierie logicielle</w:t>
            </w:r>
          </w:p>
          <w:p>
            <w:pPr>
              <w:spacing w:after="0"/>
            </w:pPr>
            <w:r>
              <w:rPr>
                <w:rFonts w:ascii="Calibri" w:cs="Calibri" w:eastAsia="Calibri" w:hAnsi="Calibri"/>
                <w:b/>
                <w:bCs/>
                <w:color w:val="5A5F5C"/>
                <w:spacing w:val="40"/>
                <w:sz w:val="18"/>
                <w:szCs w:val="18"/>
              </w:rPr>
              <w:t xml:space="preserve">Destinataires  </w:t>
            </w:r>
            <w:r>
              <w:rPr>
                <w:rFonts w:ascii="Calibri" w:cs="Calibri" w:eastAsia="Calibri" w:hAnsi="Calibri"/>
                <w:color w:val="2D332F"/>
                <w:sz w:val="22"/>
                <w:szCs w:val="22"/>
              </w:rPr>
              <w:t xml:space="preserve">MSHP · Direction des Systèmes d'Information · e-MSanté</w:t>
            </w:r>
          </w:p>
        </w:tc>
      </w:tr>
    </w:tbl>
    <w:p>
      <w:pPr>
        <w:spacing w:after="0"/>
      </w:pPr>
      <w:r>
        <w:rPr>
          <w:sz w:val="12"/>
          <w:szCs w:val="12"/>
        </w:rPr>
        <w:t xml:space="preserve"/>
      </w:r>
    </w:p>
    <w:p>
      <w:pPr>
        <w:spacing w:before="400"/>
        <w:jc w:val="center"/>
      </w:pPr>
      <w:r>
        <w:rPr>
          <w:rFonts w:ascii="Calibri" w:cs="Calibri" w:eastAsia="Calibri" w:hAnsi="Calibri"/>
          <w:i/>
          <w:iCs/>
          <w:color w:val="8A8F8C"/>
          <w:sz w:val="16"/>
          <w:szCs w:val="16"/>
        </w:rPr>
        <w:t xml:space="preserve">Document confidentiel — usage interne CMU / e-MSanté / MSHP</w:t>
      </w:r>
    </w:p>
    <w:p>
      <w:pPr>
        <w:pageBreakBefore/>
        <w:spacing w:after="80"/>
        <w:jc w:val="left"/>
      </w:pPr>
      <w:r>
        <w:rPr>
          <w:rFonts w:ascii="Calibri" w:cs="Calibri" w:eastAsia="Calibri" w:hAnsi="Calibri"/>
          <w:b/>
          <w:bCs/>
          <w:color w:val="8B6508"/>
          <w:spacing w:val="200"/>
          <w:sz w:val="18"/>
          <w:szCs w:val="18"/>
        </w:rPr>
        <w:t xml:space="preserve">SOMMAIRE</w:t>
      </w:r>
    </w:p>
    <w:p>
      <w:pPr>
        <w:pBdr>
          <w:bottom w:val="single" w:color="C9A227" w:sz="8" w:space="4"/>
        </w:pBdr>
        <w:spacing w:after="40"/>
        <w:jc w:val="left"/>
      </w:pPr>
      <w:r>
        <w:rPr>
          <w:rFonts w:ascii="Calibri" w:cs="Calibri" w:eastAsia="Calibri" w:hAnsi="Calibri"/>
          <w:b/>
          <w:bCs/>
          <w:color w:val="0A3622"/>
          <w:sz w:val="40"/>
          <w:szCs w:val="40"/>
        </w:rPr>
        <w:t xml:space="preserve">Table des matières</w:t>
      </w:r>
    </w:p>
    <w:p>
      <w:pPr>
        <w:spacing w:after="0"/>
      </w:pPr>
      <w:r>
        <w:rPr>
          <w:sz w:val="12"/>
          <w:szCs w:val="12"/>
        </w:rPr>
        <w:t xml:space="preserve"/>
      </w:r>
    </w:p>
    <w:p>
      <w:pPr>
        <w:tabs>
          <w:tab w:val="right" w:pos="9360" w:leader="dot"/>
        </w:tabs>
        <w:spacing w:after="100" w:before="100" w:line="280"/>
      </w:pPr>
      <w:r>
        <w:rPr>
          <w:rFonts w:ascii="Calibri" w:cs="Calibri" w:eastAsia="Calibri" w:hAnsi="Calibri"/>
          <w:b/>
          <w:bCs/>
          <w:color w:val="B8860B"/>
          <w:sz w:val="22"/>
          <w:szCs w:val="22"/>
        </w:rPr>
        <w:t xml:space="preserve">1.  </w:t>
      </w:r>
      <w:r>
        <w:rPr>
          <w:rFonts w:ascii="Calibri" w:cs="Calibri" w:eastAsia="Calibri" w:hAnsi="Calibri"/>
          <w:color w:val="0A3622"/>
          <w:sz w:val="22"/>
          <w:szCs w:val="22"/>
        </w:rPr>
        <w:t xml:space="preserve">Introduction</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2.  </w:t>
      </w:r>
      <w:r>
        <w:rPr>
          <w:rFonts w:ascii="Calibri" w:cs="Calibri" w:eastAsia="Calibri" w:hAnsi="Calibri"/>
          <w:color w:val="0A3622"/>
          <w:sz w:val="22"/>
          <w:szCs w:val="22"/>
        </w:rPr>
        <w:t xml:space="preserve">Architecture fonctionnelle</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3.  </w:t>
      </w:r>
      <w:r>
        <w:rPr>
          <w:rFonts w:ascii="Calibri" w:cs="Calibri" w:eastAsia="Calibri" w:hAnsi="Calibri"/>
          <w:color w:val="0A3622"/>
          <w:sz w:val="22"/>
          <w:szCs w:val="22"/>
        </w:rPr>
        <w:t xml:space="preserve">Cycles de vie</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4.  </w:t>
      </w:r>
      <w:r>
        <w:rPr>
          <w:rFonts w:ascii="Calibri" w:cs="Calibri" w:eastAsia="Calibri" w:hAnsi="Calibri"/>
          <w:color w:val="0A3622"/>
          <w:sz w:val="22"/>
          <w:szCs w:val="22"/>
        </w:rPr>
        <w:t xml:space="preserve">Identifiant Unique de Santé (IUS)</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5.  </w:t>
      </w:r>
      <w:r>
        <w:rPr>
          <w:rFonts w:ascii="Calibri" w:cs="Calibri" w:eastAsia="Calibri" w:hAnsi="Calibri"/>
          <w:color w:val="0A3622"/>
          <w:sz w:val="22"/>
          <w:szCs w:val="22"/>
        </w:rPr>
        <w:t xml:space="preserve">Prise en charge et facturation</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6.  </w:t>
      </w:r>
      <w:r>
        <w:rPr>
          <w:rFonts w:ascii="Calibri" w:cs="Calibri" w:eastAsia="Calibri" w:hAnsi="Calibri"/>
          <w:color w:val="0A3622"/>
          <w:sz w:val="22"/>
          <w:szCs w:val="22"/>
        </w:rPr>
        <w:t xml:space="preserve">Workflow de remboursement</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7.  </w:t>
      </w:r>
      <w:r>
        <w:rPr>
          <w:rFonts w:ascii="Calibri" w:cs="Calibri" w:eastAsia="Calibri" w:hAnsi="Calibri"/>
          <w:color w:val="0A3622"/>
          <w:sz w:val="22"/>
          <w:szCs w:val="22"/>
        </w:rPr>
        <w:t xml:space="preserve">Modèle de données</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8.  </w:t>
      </w:r>
      <w:r>
        <w:rPr>
          <w:rFonts w:ascii="Calibri" w:cs="Calibri" w:eastAsia="Calibri" w:hAnsi="Calibri"/>
          <w:color w:val="0A3622"/>
          <w:sz w:val="22"/>
          <w:szCs w:val="22"/>
        </w:rPr>
        <w:t xml:space="preserve">Matrice de droits d'accès</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9.  </w:t>
      </w:r>
      <w:r>
        <w:rPr>
          <w:rFonts w:ascii="Calibri" w:cs="Calibri" w:eastAsia="Calibri" w:hAnsi="Calibri"/>
          <w:color w:val="0A3622"/>
          <w:sz w:val="22"/>
          <w:szCs w:val="22"/>
        </w:rPr>
        <w:t xml:space="preserve">Intégration avec le SIH e-MSanté</w:t>
      </w:r>
      <w:r>
        <w:rPr>
          <w:rFonts w:ascii="Calibri" w:cs="Calibri" w:eastAsia="Calibri" w:hAnsi="Calibri"/>
          <w:sz w:val="22"/>
          <w:szCs w:val="22"/>
        </w:rPr>
        <w:t xml:space="preserve">	</w:t>
      </w:r>
      <w:r>
        <w:rPr>
          <w:rFonts w:ascii="Calibri" w:cs="Calibri" w:eastAsia="Calibri" w:hAnsi="Calibri"/>
          <w:sz w:val="22"/>
          <w:szCs w:val="22"/>
        </w:rPr>
        <w:t xml:space="preserve"/>
      </w:r>
    </w:p>
    <w:p>
      <w:pPr>
        <w:tabs>
          <w:tab w:val="right" w:pos="9360" w:leader="dot"/>
        </w:tabs>
        <w:spacing w:after="100" w:before="100" w:line="280"/>
      </w:pPr>
      <w:r>
        <w:rPr>
          <w:rFonts w:ascii="Calibri" w:cs="Calibri" w:eastAsia="Calibri" w:hAnsi="Calibri"/>
          <w:b/>
          <w:bCs/>
          <w:color w:val="B8860B"/>
          <w:sz w:val="22"/>
          <w:szCs w:val="22"/>
        </w:rPr>
        <w:t xml:space="preserve">10.  </w:t>
      </w:r>
      <w:r>
        <w:rPr>
          <w:rFonts w:ascii="Calibri" w:cs="Calibri" w:eastAsia="Calibri" w:hAnsi="Calibri"/>
          <w:color w:val="0A3622"/>
          <w:sz w:val="22"/>
          <w:szCs w:val="22"/>
        </w:rPr>
        <w:t xml:space="preserve">Prochaines étapes</w:t>
      </w:r>
      <w:r>
        <w:rPr>
          <w:rFonts w:ascii="Calibri" w:cs="Calibri" w:eastAsia="Calibri" w:hAnsi="Calibri"/>
          <w:sz w:val="22"/>
          <w:szCs w:val="22"/>
        </w:rPr>
        <w:t xml:space="preserve">	</w:t>
      </w:r>
      <w:r>
        <w:rPr>
          <w:rFonts w:ascii="Calibri" w:cs="Calibri" w:eastAsia="Calibri" w:hAnsi="Calibri"/>
          <w:sz w:val="22"/>
          <w:szCs w:val="22"/>
        </w:rPr>
        <w:t xml:space="preserve"/>
      </w:r>
    </w:p>
    <w:p>
      <w:pPr>
        <w:spacing w:after="0"/>
      </w:pPr>
      <w:r>
        <w:rPr>
          <w:sz w:val="16"/>
          <w:szCs w:val="16"/>
        </w:rPr>
        <w:t xml:space="preserve"/>
      </w:r>
    </w:p>
    <w:p>
      <w:pPr>
        <w:spacing w:before="400"/>
        <w:jc w:val="center"/>
      </w:pPr>
      <w:r>
        <w:rPr>
          <w:rFonts w:ascii="Calibri" w:cs="Calibri" w:eastAsia="Calibri" w:hAnsi="Calibri"/>
          <w:i/>
          <w:iCs/>
          <w:color w:val="6E736F"/>
          <w:sz w:val="16"/>
          <w:szCs w:val="16"/>
        </w:rPr>
        <w:t xml:space="preserve">Document rédigé par OLYMPE pour e-MSanté SARL</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1. </w:t>
      </w:r>
      <w:r>
        <w:rPr>
          <w:rFonts w:ascii="Calibri" w:cs="Calibri" w:eastAsia="Calibri" w:hAnsi="Calibri"/>
          <w:b/>
          <w:bCs/>
          <w:color w:val="0A3622"/>
          <w:sz w:val="40"/>
          <w:szCs w:val="40"/>
        </w:rPr>
        <w:t xml:space="preserve">Introduction</w:t>
      </w:r>
    </w:p>
    <w:p>
      <w:pPr>
        <w:spacing w:after="40" w:before="200"/>
      </w:pPr>
      <w:r>
        <w:rPr>
          <w:rFonts w:ascii="Calibri" w:cs="Calibri" w:eastAsia="Calibri" w:hAnsi="Calibri"/>
          <w:b/>
          <w:bCs/>
          <w:color w:val="8B6508"/>
          <w:spacing w:val="40"/>
          <w:sz w:val="16"/>
          <w:szCs w:val="16"/>
        </w:rPr>
        <w:t xml:space="preserve">Objet du document</w:t>
      </w:r>
    </w:p>
    <w:p>
      <w:pPr>
        <w:spacing w:after="120" w:before="0" w:line="300"/>
        <w:jc w:val="both"/>
      </w:pPr>
      <w:r>
        <w:rPr>
          <w:rFonts w:ascii="Calibri" w:cs="Calibri" w:eastAsia="Calibri" w:hAnsi="Calibri"/>
          <w:color w:val="2D332F"/>
          <w:sz w:val="22"/>
          <w:szCs w:val="22"/>
        </w:rPr>
        <w:t xml:space="preserve">Le présent document consolide les règles métier, le modèle de données et les workflows opérationnels de la plateforme nationale de Couverture Maladie Universelle (CMU) de la République de Guinée. Il sert de référence unique pour l'équipe de développement, l'équipe métier de l'opérateur technique e-MSanté SARL, ainsi que pour les décideurs du Ministère de la Santé et de l'Hygiène Publique (MSHP).</w:t>
      </w:r>
    </w:p>
    <w:p>
      <w:pPr>
        <w:spacing w:after="120" w:before="0" w:line="300"/>
        <w:jc w:val="both"/>
      </w:pPr>
      <w:r>
        <w:rPr>
          <w:rFonts w:ascii="Calibri" w:cs="Calibri" w:eastAsia="Calibri" w:hAnsi="Calibri"/>
          <w:color w:val="2D332F"/>
          <w:sz w:val="22"/>
          <w:szCs w:val="22"/>
        </w:rPr>
        <w:t xml:space="preserve">Il est destiné à guider l'implémentation de la plateforme sur la stack Laravel 11 + PostgreSQL 16 + Livewire 3 + Alpine.js + Tailwind CSS, déployée en production sur Windows Server + IIS, en intégration multi-bases avec l'écosystème MSanté existant (bases pgsql_santepro, pgsql_laboratoire, pgsql_rngps).</w:t>
      </w:r>
    </w:p>
    <w:p>
      <w:pPr>
        <w:pStyle w:val="Heading2"/>
        <w:spacing w:after="120" w:before="360"/>
      </w:pPr>
      <w:r>
        <w:rPr>
          <w:rFonts w:ascii="Calibri" w:cs="Calibri" w:eastAsia="Calibri" w:hAnsi="Calibri"/>
          <w:b/>
          <w:bCs/>
          <w:color w:val="0F4A2E"/>
          <w:sz w:val="28"/>
          <w:szCs w:val="28"/>
        </w:rPr>
        <w:t xml:space="preserve">1.1  Périmètre</w:t>
      </w:r>
    </w:p>
    <w:p>
      <w:pPr>
        <w:spacing w:after="120" w:before="0" w:line="300"/>
        <w:jc w:val="both"/>
      </w:pPr>
      <w:r>
        <w:rPr>
          <w:rFonts w:ascii="Calibri" w:cs="Calibri" w:eastAsia="Calibri" w:hAnsi="Calibri"/>
          <w:color w:val="2D332F"/>
          <w:sz w:val="22"/>
          <w:szCs w:val="22"/>
        </w:rPr>
        <w:t xml:space="preserve">La plateforme CMU couvre l'intégralité du cycle opérationnel du dispositif national :</w:t>
      </w:r>
    </w:p>
    <w:p>
      <w:pPr>
        <w:pStyle w:val="ListParagraph"/>
        <w:numPr>
          <w:ilvl w:val="0"/>
          <w:numId w:val="2"/>
        </w:numPr>
        <w:spacing w:after="40" w:before="40" w:line="280"/>
      </w:pPr>
      <w:r>
        <w:rPr>
          <w:rFonts w:ascii="Calibri" w:cs="Calibri" w:eastAsia="Calibri" w:hAnsi="Calibri"/>
          <w:color w:val="2D332F"/>
          <w:sz w:val="22"/>
          <w:szCs w:val="22"/>
        </w:rPr>
        <w:t xml:space="preserve">Configuration nationale des établissements de santé (publics et privés conventionnés)</w:t>
      </w:r>
    </w:p>
    <w:p>
      <w:pPr>
        <w:pStyle w:val="ListParagraph"/>
        <w:numPr>
          <w:ilvl w:val="0"/>
          <w:numId w:val="2"/>
        </w:numPr>
        <w:spacing w:after="40" w:before="40" w:line="280"/>
      </w:pPr>
      <w:r>
        <w:rPr>
          <w:rFonts w:ascii="Calibri" w:cs="Calibri" w:eastAsia="Calibri" w:hAnsi="Calibri"/>
          <w:color w:val="2D332F"/>
          <w:sz w:val="22"/>
          <w:szCs w:val="22"/>
        </w:rPr>
        <w:t xml:space="preserve">Enrôlement des citoyens dans l'un des deux régimes (RGB ou RAM)</w:t>
      </w:r>
    </w:p>
    <w:p>
      <w:pPr>
        <w:pStyle w:val="ListParagraph"/>
        <w:numPr>
          <w:ilvl w:val="0"/>
          <w:numId w:val="2"/>
        </w:numPr>
        <w:spacing w:after="40" w:before="40" w:line="280"/>
      </w:pPr>
      <w:r>
        <w:rPr>
          <w:rFonts w:ascii="Calibri" w:cs="Calibri" w:eastAsia="Calibri" w:hAnsi="Calibri"/>
          <w:color w:val="2D332F"/>
          <w:sz w:val="22"/>
          <w:szCs w:val="22"/>
        </w:rPr>
        <w:t xml:space="preserve">Validation centrale des dossiers par le MSHP</w:t>
      </w:r>
    </w:p>
    <w:p>
      <w:pPr>
        <w:pStyle w:val="ListParagraph"/>
        <w:numPr>
          <w:ilvl w:val="0"/>
          <w:numId w:val="2"/>
        </w:numPr>
        <w:spacing w:after="40" w:before="40" w:line="280"/>
      </w:pPr>
      <w:r>
        <w:rPr>
          <w:rFonts w:ascii="Calibri" w:cs="Calibri" w:eastAsia="Calibri" w:hAnsi="Calibri"/>
          <w:color w:val="2D332F"/>
          <w:sz w:val="22"/>
          <w:szCs w:val="22"/>
        </w:rPr>
        <w:t xml:space="preserve">Émission et gestion du cycle de vie de la carte CMU et de l'Identifiant Unique de Santé (IUS)</w:t>
      </w:r>
    </w:p>
    <w:p>
      <w:pPr>
        <w:pStyle w:val="ListParagraph"/>
        <w:numPr>
          <w:ilvl w:val="0"/>
          <w:numId w:val="2"/>
        </w:numPr>
        <w:spacing w:after="40" w:before="40" w:line="280"/>
      </w:pPr>
      <w:r>
        <w:rPr>
          <w:rFonts w:ascii="Calibri" w:cs="Calibri" w:eastAsia="Calibri" w:hAnsi="Calibri"/>
          <w:color w:val="2D332F"/>
          <w:sz w:val="22"/>
          <w:szCs w:val="22"/>
        </w:rPr>
        <w:t xml:space="preserve">Prélèvement mensuel des cotisations via les opérateurs Mobile Money (MTN et Orange)</w:t>
      </w:r>
    </w:p>
    <w:p>
      <w:pPr>
        <w:pStyle w:val="ListParagraph"/>
        <w:numPr>
          <w:ilvl w:val="0"/>
          <w:numId w:val="2"/>
        </w:numPr>
        <w:spacing w:after="40" w:before="40" w:line="280"/>
      </w:pPr>
      <w:r>
        <w:rPr>
          <w:rFonts w:ascii="Calibri" w:cs="Calibri" w:eastAsia="Calibri" w:hAnsi="Calibri"/>
          <w:color w:val="2D332F"/>
          <w:sz w:val="22"/>
          <w:szCs w:val="22"/>
        </w:rPr>
        <w:t xml:space="preserve">Prise en charge des soins au point de prestation selon les règles de chaque régime</w:t>
      </w:r>
    </w:p>
    <w:p>
      <w:pPr>
        <w:pStyle w:val="ListParagraph"/>
        <w:numPr>
          <w:ilvl w:val="0"/>
          <w:numId w:val="2"/>
        </w:numPr>
        <w:spacing w:after="40" w:before="40" w:line="280"/>
      </w:pPr>
      <w:r>
        <w:rPr>
          <w:rFonts w:ascii="Calibri" w:cs="Calibri" w:eastAsia="Calibri" w:hAnsi="Calibri"/>
          <w:color w:val="2D332F"/>
          <w:sz w:val="22"/>
          <w:szCs w:val="22"/>
        </w:rPr>
        <w:t xml:space="preserve">Génération mensuelle des dossiers de remboursement par établissement</w:t>
      </w:r>
    </w:p>
    <w:p>
      <w:pPr>
        <w:pStyle w:val="ListParagraph"/>
        <w:numPr>
          <w:ilvl w:val="0"/>
          <w:numId w:val="2"/>
        </w:numPr>
        <w:spacing w:after="40" w:before="40" w:line="280"/>
      </w:pPr>
      <w:r>
        <w:rPr>
          <w:rFonts w:ascii="Calibri" w:cs="Calibri" w:eastAsia="Calibri" w:hAnsi="Calibri"/>
          <w:color w:val="2D332F"/>
          <w:sz w:val="22"/>
          <w:szCs w:val="22"/>
        </w:rPr>
        <w:t xml:space="preserve">Instruction, approbation et paiement des remboursements par la Caisse nationale CMU</w:t>
      </w:r>
    </w:p>
    <w:p>
      <w:pPr>
        <w:pStyle w:val="ListParagraph"/>
        <w:numPr>
          <w:ilvl w:val="0"/>
          <w:numId w:val="2"/>
        </w:numPr>
        <w:spacing w:after="40" w:before="40" w:line="280"/>
      </w:pPr>
      <w:r>
        <w:rPr>
          <w:rFonts w:ascii="Calibri" w:cs="Calibri" w:eastAsia="Calibri" w:hAnsi="Calibri"/>
          <w:color w:val="2D332F"/>
          <w:sz w:val="22"/>
          <w:szCs w:val="22"/>
        </w:rPr>
        <w:t xml:space="preserve">Supervision nationale, statistiques, audit et traçabilité</w:t>
      </w:r>
    </w:p>
    <w:p>
      <w:pPr>
        <w:pStyle w:val="Heading2"/>
        <w:spacing w:after="120" w:before="360"/>
      </w:pPr>
      <w:r>
        <w:rPr>
          <w:rFonts w:ascii="Calibri" w:cs="Calibri" w:eastAsia="Calibri" w:hAnsi="Calibri"/>
          <w:b/>
          <w:bCs/>
          <w:color w:val="0F4A2E"/>
          <w:sz w:val="28"/>
          <w:szCs w:val="28"/>
        </w:rPr>
        <w:t xml:space="preserve">1.2  Acteurs du système</w:t>
      </w:r>
    </w:p>
    <w:p>
      <w:pPr>
        <w:spacing w:after="120" w:before="0" w:line="300"/>
        <w:jc w:val="both"/>
      </w:pPr>
      <w:r>
        <w:rPr>
          <w:rFonts w:ascii="Calibri" w:cs="Calibri" w:eastAsia="Calibri" w:hAnsi="Calibri"/>
          <w:color w:val="2D332F"/>
          <w:sz w:val="22"/>
          <w:szCs w:val="22"/>
        </w:rPr>
        <w:t xml:space="preserve">La plateforme distingue plusieurs catégories d'acteurs, chacune avec un périmètre d'action strict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700"/>
        <w:gridCol w:w="5060"/>
      </w:tblGrid>
      <w:tr>
        <w:trPr>
          <w:tblHeader/>
        </w:trPr>
        <w:tc>
          <w:tcPr>
            <w:tcW w:type="dxa" w:w="26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Acteur</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Portée</w:t>
            </w:r>
          </w:p>
        </w:tc>
        <w:tc>
          <w:tcPr>
            <w:tcW w:type="dxa" w:w="50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Responsabilité principale</w:t>
            </w:r>
          </w:p>
        </w:tc>
      </w:tr>
      <w:tr>
        <w:tc>
          <w:tcPr>
            <w:tcW w:type="dxa" w:w="2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Administration centrale CMU (MSHP)</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5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Pilotage, référentiels, habilitations, supervision</w:t>
            </w:r>
          </w:p>
        </w:tc>
      </w:tr>
      <w:tr>
        <w:tc>
          <w:tcPr>
            <w:tcW w:type="dxa" w:w="2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Validation centrale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5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Instruit les dossiers RGB soumis par les agents</w:t>
            </w:r>
          </w:p>
        </w:tc>
      </w:tr>
      <w:tr>
        <w:tc>
          <w:tcPr>
            <w:tcW w:type="dxa" w:w="2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Commission RAM</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5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Valide les dossiers RAM après enquête sociale (MSHP + MASS)</w:t>
            </w:r>
          </w:p>
        </w:tc>
      </w:tr>
      <w:tr>
        <w:tc>
          <w:tcPr>
            <w:tcW w:type="dxa" w:w="2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Caisse nationale CMU</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5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Centralise les fonds, paie les remboursements</w:t>
            </w:r>
          </w:p>
        </w:tc>
      </w:tr>
      <w:tr>
        <w:tc>
          <w:tcPr>
            <w:tcW w:type="dxa" w:w="2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 CMU enrôlement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Établissement</w:t>
            </w:r>
          </w:p>
        </w:tc>
        <w:tc>
          <w:tcPr>
            <w:tcW w:type="dxa" w:w="5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Enrôle les citoyens, effectue les prises en charge</w:t>
            </w:r>
          </w:p>
        </w:tc>
      </w:tr>
      <w:tr>
        <w:tc>
          <w:tcPr>
            <w:tcW w:type="dxa" w:w="2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 CMU facturation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Établissement</w:t>
            </w:r>
          </w:p>
        </w:tc>
        <w:tc>
          <w:tcPr>
            <w:tcW w:type="dxa" w:w="5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Génère les dossiers de remboursement mensuels</w:t>
            </w:r>
          </w:p>
        </w:tc>
      </w:tr>
      <w:tr>
        <w:tc>
          <w:tcPr>
            <w:tcW w:type="dxa" w:w="2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 d'établissement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Établissement (optionnel)</w:t>
            </w:r>
          </w:p>
        </w:tc>
        <w:tc>
          <w:tcPr>
            <w:tcW w:type="dxa" w:w="5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Consultation et validation interne avant soumission</w:t>
            </w:r>
          </w:p>
        </w:tc>
      </w:tr>
      <w:tr>
        <w:tc>
          <w:tcPr>
            <w:tcW w:type="dxa" w:w="2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Bénéficiaire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Citoyen</w:t>
            </w:r>
          </w:p>
        </w:tc>
        <w:tc>
          <w:tcPr>
            <w:tcW w:type="dxa" w:w="5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Consulte son dossier, ses droits, son historique</w:t>
            </w:r>
          </w:p>
        </w:tc>
      </w:tr>
    </w:tbl>
    <w:p>
      <w:pPr>
        <w:spacing w:after="0"/>
      </w:pPr>
      <w:r>
        <w:rPr>
          <w:sz w:val="12"/>
          <w:szCs w:val="12"/>
        </w:rPr>
        <w:t xml:space="preserve"/>
      </w:r>
    </w:p>
    <w:p>
      <w:pPr>
        <w:pStyle w:val="Heading2"/>
        <w:spacing w:after="120" w:before="360"/>
      </w:pPr>
      <w:r>
        <w:rPr>
          <w:rFonts w:ascii="Calibri" w:cs="Calibri" w:eastAsia="Calibri" w:hAnsi="Calibri"/>
          <w:b/>
          <w:bCs/>
          <w:color w:val="0F4A2E"/>
          <w:sz w:val="28"/>
          <w:szCs w:val="28"/>
        </w:rPr>
        <w:t xml:space="preserve">1.3  Conventions rédactionnelles</w:t>
      </w:r>
    </w:p>
    <w:p>
      <w:pPr>
        <w:pStyle w:val="ListParagraph"/>
        <w:numPr>
          <w:ilvl w:val="0"/>
          <w:numId w:val="2"/>
        </w:numPr>
        <w:spacing w:after="40" w:before="40" w:line="280"/>
      </w:pPr>
      <w:r>
        <w:rPr>
          <w:rFonts w:ascii="Calibri" w:cs="Calibri" w:eastAsia="Calibri" w:hAnsi="Calibri"/>
          <w:b/>
          <w:bCs/>
          <w:color w:val="0F4A2E"/>
          <w:sz w:val="22"/>
          <w:szCs w:val="22"/>
        </w:rPr>
        <w:t xml:space="preserve">RGB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Régime Général de Base — couverture cotisée à 80 %</w:t>
      </w:r>
    </w:p>
    <w:p>
      <w:pPr>
        <w:pStyle w:val="ListParagraph"/>
        <w:numPr>
          <w:ilvl w:val="0"/>
          <w:numId w:val="2"/>
        </w:numPr>
        <w:spacing w:after="40" w:before="40" w:line="280"/>
      </w:pPr>
      <w:r>
        <w:rPr>
          <w:rFonts w:ascii="Calibri" w:cs="Calibri" w:eastAsia="Calibri" w:hAnsi="Calibri"/>
          <w:b/>
          <w:bCs/>
          <w:color w:val="0F4A2E"/>
          <w:sz w:val="22"/>
          <w:szCs w:val="22"/>
        </w:rPr>
        <w:t xml:space="preserve">RAM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Régime d'Assistance Médicale — couverture financée par l'État à 100 %</w:t>
      </w:r>
    </w:p>
    <w:p>
      <w:pPr>
        <w:pStyle w:val="ListParagraph"/>
        <w:numPr>
          <w:ilvl w:val="0"/>
          <w:numId w:val="2"/>
        </w:numPr>
        <w:spacing w:after="40" w:before="40" w:line="280"/>
      </w:pPr>
      <w:r>
        <w:rPr>
          <w:rFonts w:ascii="Calibri" w:cs="Calibri" w:eastAsia="Calibri" w:hAnsi="Calibri"/>
          <w:b/>
          <w:bCs/>
          <w:color w:val="0F4A2E"/>
          <w:sz w:val="22"/>
          <w:szCs w:val="22"/>
        </w:rPr>
        <w:t xml:space="preserve">IUS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Identifiant Unique de Santé — identifiant national à 15 chiffres</w:t>
      </w:r>
    </w:p>
    <w:p>
      <w:pPr>
        <w:pStyle w:val="ListParagraph"/>
        <w:numPr>
          <w:ilvl w:val="0"/>
          <w:numId w:val="2"/>
        </w:numPr>
        <w:spacing w:after="40" w:before="40" w:line="280"/>
      </w:pPr>
      <w:r>
        <w:rPr>
          <w:rFonts w:ascii="Calibri" w:cs="Calibri" w:eastAsia="Calibri" w:hAnsi="Calibri"/>
          <w:b/>
          <w:bCs/>
          <w:color w:val="0F4A2E"/>
          <w:sz w:val="22"/>
          <w:szCs w:val="22"/>
        </w:rPr>
        <w:t xml:space="preserve">PEC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Prise En Charge — épisode de soins couvert par la CMU</w:t>
      </w:r>
    </w:p>
    <w:p>
      <w:pPr>
        <w:pStyle w:val="ListParagraph"/>
        <w:numPr>
          <w:ilvl w:val="0"/>
          <w:numId w:val="2"/>
        </w:numPr>
        <w:spacing w:after="40" w:before="40" w:line="280"/>
      </w:pPr>
      <w:r>
        <w:rPr>
          <w:rFonts w:ascii="Calibri" w:cs="Calibri" w:eastAsia="Calibri" w:hAnsi="Calibri"/>
          <w:b/>
          <w:bCs/>
          <w:color w:val="0F4A2E"/>
          <w:sz w:val="22"/>
          <w:szCs w:val="22"/>
        </w:rPr>
        <w:t xml:space="preserve">SIH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Système d'Information Hospitalier — MSanté et modules associés</w:t>
      </w:r>
    </w:p>
    <w:p>
      <w:pPr>
        <w:pStyle w:val="ListParagraph"/>
        <w:numPr>
          <w:ilvl w:val="0"/>
          <w:numId w:val="2"/>
        </w:numPr>
        <w:spacing w:after="40" w:before="40" w:line="280"/>
      </w:pPr>
      <w:r>
        <w:rPr>
          <w:rFonts w:ascii="Calibri" w:cs="Calibri" w:eastAsia="Calibri" w:hAnsi="Calibri"/>
          <w:b/>
          <w:bCs/>
          <w:color w:val="0F4A2E"/>
          <w:sz w:val="22"/>
          <w:szCs w:val="22"/>
        </w:rPr>
        <w:t xml:space="preserve">MSHP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Ministère de la Santé et de l'Hygiène Publique</w:t>
      </w:r>
    </w:p>
    <w:p>
      <w:pPr>
        <w:pStyle w:val="ListParagraph"/>
        <w:numPr>
          <w:ilvl w:val="0"/>
          <w:numId w:val="2"/>
        </w:numPr>
        <w:spacing w:after="40" w:before="40" w:line="280"/>
      </w:pPr>
      <w:r>
        <w:rPr>
          <w:rFonts w:ascii="Calibri" w:cs="Calibri" w:eastAsia="Calibri" w:hAnsi="Calibri"/>
          <w:b/>
          <w:bCs/>
          <w:color w:val="0F4A2E"/>
          <w:sz w:val="22"/>
          <w:szCs w:val="22"/>
        </w:rPr>
        <w:t xml:space="preserve">MASS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Ministère de l'Action Sociale et de la Solidarité</w:t>
      </w:r>
    </w:p>
    <w:p>
      <w:pPr>
        <w:pStyle w:val="ListParagraph"/>
        <w:numPr>
          <w:ilvl w:val="0"/>
          <w:numId w:val="2"/>
        </w:numPr>
        <w:spacing w:after="40" w:before="40" w:line="280"/>
      </w:pPr>
      <w:r>
        <w:rPr>
          <w:rFonts w:ascii="Calibri" w:cs="Calibri" w:eastAsia="Calibri" w:hAnsi="Calibri"/>
          <w:b/>
          <w:bCs/>
          <w:color w:val="0F4A2E"/>
          <w:sz w:val="22"/>
          <w:szCs w:val="22"/>
        </w:rPr>
        <w:t xml:space="preserve">GNF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Franc Guinéen — devise nationale, utilisée pour tous les montants</w:t>
      </w:r>
    </w:p>
    <w:p>
      <w:pPr>
        <w:spacing w:after="120" w:before="200" w:line="300"/>
        <w:jc w:val="both"/>
      </w:pPr>
      <w:r>
        <w:rPr>
          <w:rFonts w:ascii="Calibri" w:cs="Calibri" w:eastAsia="Calibri" w:hAnsi="Calibri"/>
          <w:color w:val="2D332F"/>
          <w:sz w:val="22"/>
          <w:szCs w:val="22"/>
        </w:rPr>
        <w:t xml:space="preserve">Les règles métier utilisent la convention suivante : en gras les valeurs paramétrables, en italique les cas d'usage illustratifs. Les identifiants techniques (tables, colonnes, codes) sont en police à chasse fixe.</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2. </w:t>
      </w:r>
      <w:r>
        <w:rPr>
          <w:rFonts w:ascii="Calibri" w:cs="Calibri" w:eastAsia="Calibri" w:hAnsi="Calibri"/>
          <w:b/>
          <w:bCs/>
          <w:color w:val="0A3622"/>
          <w:sz w:val="40"/>
          <w:szCs w:val="40"/>
        </w:rPr>
        <w:t xml:space="preserve">Architecture fonctionnelle</w:t>
      </w:r>
    </w:p>
    <w:p>
      <w:pPr>
        <w:spacing w:after="40" w:before="200"/>
      </w:pPr>
      <w:r>
        <w:rPr>
          <w:rFonts w:ascii="Calibri" w:cs="Calibri" w:eastAsia="Calibri" w:hAnsi="Calibri"/>
          <w:b/>
          <w:bCs/>
          <w:color w:val="8B6508"/>
          <w:spacing w:val="40"/>
          <w:sz w:val="16"/>
          <w:szCs w:val="16"/>
        </w:rPr>
        <w:t xml:space="preserve">Les deux régimes</w:t>
      </w:r>
    </w:p>
    <w:p>
      <w:pPr>
        <w:pStyle w:val="Heading2"/>
        <w:spacing w:after="120" w:before="360"/>
      </w:pPr>
      <w:r>
        <w:rPr>
          <w:rFonts w:ascii="Calibri" w:cs="Calibri" w:eastAsia="Calibri" w:hAnsi="Calibri"/>
          <w:b/>
          <w:bCs/>
          <w:color w:val="0F4A2E"/>
          <w:sz w:val="28"/>
          <w:szCs w:val="28"/>
        </w:rPr>
        <w:t xml:space="preserve">2.1  Régime Général de Base (RGB)</w:t>
      </w:r>
    </w:p>
    <w:p>
      <w:pPr>
        <w:spacing w:after="120" w:before="0" w:line="300"/>
        <w:jc w:val="both"/>
      </w:pPr>
      <w:r>
        <w:rPr>
          <w:rFonts w:ascii="Calibri" w:cs="Calibri" w:eastAsia="Calibri" w:hAnsi="Calibri"/>
          <w:color w:val="2D332F"/>
          <w:sz w:val="22"/>
          <w:szCs w:val="22"/>
        </w:rPr>
        <w:t xml:space="preserve">Le RGB s'adresse aux citoyens du secteur informel actif, disposant d'une capacité contributive et ne bénéficiant d'aucune autre couverture maladie (CNPS, CNSS, IPM).</w:t>
      </w:r>
    </w:p>
    <w:p>
      <w:pPr>
        <w:pStyle w:val="ListParagraph"/>
        <w:numPr>
          <w:ilvl w:val="0"/>
          <w:numId w:val="2"/>
        </w:numPr>
        <w:spacing w:after="40" w:before="40" w:line="280"/>
      </w:pPr>
      <w:r>
        <w:rPr>
          <w:rFonts w:ascii="Calibri" w:cs="Calibri" w:eastAsia="Calibri" w:hAnsi="Calibri"/>
          <w:b/>
          <w:bCs/>
          <w:color w:val="0F4A2E"/>
          <w:sz w:val="22"/>
          <w:szCs w:val="22"/>
        </w:rPr>
        <w:t xml:space="preserve">Cotisation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Entre 2 000 et 5 000 GNF par mois selon le profil de cotisant</w:t>
      </w:r>
    </w:p>
    <w:p>
      <w:pPr>
        <w:pStyle w:val="ListParagraph"/>
        <w:numPr>
          <w:ilvl w:val="0"/>
          <w:numId w:val="2"/>
        </w:numPr>
        <w:spacing w:after="40" w:before="40" w:line="280"/>
      </w:pPr>
      <w:r>
        <w:rPr>
          <w:rFonts w:ascii="Calibri" w:cs="Calibri" w:eastAsia="Calibri" w:hAnsi="Calibri"/>
          <w:b/>
          <w:bCs/>
          <w:color w:val="0F4A2E"/>
          <w:sz w:val="22"/>
          <w:szCs w:val="22"/>
        </w:rPr>
        <w:t xml:space="preserve">Prise en charge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80 % du tarif national de chaque acte</w:t>
      </w:r>
    </w:p>
    <w:p>
      <w:pPr>
        <w:pStyle w:val="ListParagraph"/>
        <w:numPr>
          <w:ilvl w:val="0"/>
          <w:numId w:val="2"/>
        </w:numPr>
        <w:spacing w:after="40" w:before="40" w:line="280"/>
      </w:pPr>
      <w:r>
        <w:rPr>
          <w:rFonts w:ascii="Calibri" w:cs="Calibri" w:eastAsia="Calibri" w:hAnsi="Calibri"/>
          <w:b/>
          <w:bCs/>
          <w:color w:val="0F4A2E"/>
          <w:sz w:val="22"/>
          <w:szCs w:val="22"/>
        </w:rPr>
        <w:t xml:space="preserve">Ticket modérateur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20 % à la charge du patient, réglé au guichet</w:t>
      </w:r>
    </w:p>
    <w:p>
      <w:pPr>
        <w:pStyle w:val="ListParagraph"/>
        <w:numPr>
          <w:ilvl w:val="0"/>
          <w:numId w:val="2"/>
        </w:numPr>
        <w:spacing w:after="40" w:before="40" w:line="280"/>
      </w:pPr>
      <w:r>
        <w:rPr>
          <w:rFonts w:ascii="Calibri" w:cs="Calibri" w:eastAsia="Calibri" w:hAnsi="Calibri"/>
          <w:b/>
          <w:bCs/>
          <w:color w:val="0F4A2E"/>
          <w:sz w:val="22"/>
          <w:szCs w:val="22"/>
        </w:rPr>
        <w:t xml:space="preserve">Activation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Au 1er du mois civil suivant la validation centrale du dossier</w:t>
      </w:r>
    </w:p>
    <w:p>
      <w:pPr>
        <w:pStyle w:val="ListParagraph"/>
        <w:numPr>
          <w:ilvl w:val="0"/>
          <w:numId w:val="2"/>
        </w:numPr>
        <w:spacing w:after="40" w:before="40" w:line="280"/>
      </w:pPr>
      <w:r>
        <w:rPr>
          <w:rFonts w:ascii="Calibri" w:cs="Calibri" w:eastAsia="Calibri" w:hAnsi="Calibri"/>
          <w:b/>
          <w:bCs/>
          <w:color w:val="0F4A2E"/>
          <w:sz w:val="22"/>
          <w:szCs w:val="22"/>
        </w:rPr>
        <w:t xml:space="preserve">Délai de grâce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2 mois de tolérance en cas d'échec de prélèvement</w:t>
      </w:r>
    </w:p>
    <w:p>
      <w:pPr>
        <w:pStyle w:val="ListParagraph"/>
        <w:numPr>
          <w:ilvl w:val="0"/>
          <w:numId w:val="2"/>
        </w:numPr>
        <w:spacing w:after="40" w:before="40" w:line="280"/>
      </w:pPr>
      <w:r>
        <w:rPr>
          <w:rFonts w:ascii="Calibri" w:cs="Calibri" w:eastAsia="Calibri" w:hAnsi="Calibri"/>
          <w:b/>
          <w:bCs/>
          <w:color w:val="0F4A2E"/>
          <w:sz w:val="22"/>
          <w:szCs w:val="22"/>
        </w:rPr>
        <w:t xml:space="preserve">Ayants droit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Enfants de moins de 17 ans du titulaire, couverts sans cotisation supplémentaire</w:t>
      </w:r>
    </w:p>
    <w:p>
      <w:pPr>
        <w:pStyle w:val="Heading2"/>
        <w:spacing w:after="120" w:before="360"/>
      </w:pPr>
      <w:r>
        <w:rPr>
          <w:rFonts w:ascii="Calibri" w:cs="Calibri" w:eastAsia="Calibri" w:hAnsi="Calibri"/>
          <w:b/>
          <w:bCs/>
          <w:color w:val="0F4A2E"/>
          <w:sz w:val="28"/>
          <w:szCs w:val="28"/>
        </w:rPr>
        <w:t xml:space="preserve">2.2  Régime d'Assistance Médicale (RAM)</w:t>
      </w:r>
    </w:p>
    <w:p>
      <w:pPr>
        <w:spacing w:after="120" w:before="0" w:line="300"/>
        <w:jc w:val="both"/>
      </w:pPr>
      <w:r>
        <w:rPr>
          <w:rFonts w:ascii="Calibri" w:cs="Calibri" w:eastAsia="Calibri" w:hAnsi="Calibri"/>
          <w:color w:val="2D332F"/>
          <w:sz w:val="22"/>
          <w:szCs w:val="22"/>
        </w:rPr>
        <w:t xml:space="preserve">Le RAM s'adresse aux populations indigentes ou vulnérables identifiées par les services sociaux de l'État.</w:t>
      </w:r>
    </w:p>
    <w:p>
      <w:pPr>
        <w:pStyle w:val="ListParagraph"/>
        <w:numPr>
          <w:ilvl w:val="0"/>
          <w:numId w:val="2"/>
        </w:numPr>
        <w:spacing w:after="40" w:before="40" w:line="280"/>
      </w:pPr>
      <w:r>
        <w:rPr>
          <w:rFonts w:ascii="Calibri" w:cs="Calibri" w:eastAsia="Calibri" w:hAnsi="Calibri"/>
          <w:b/>
          <w:bCs/>
          <w:color w:val="0F4A2E"/>
          <w:sz w:val="22"/>
          <w:szCs w:val="22"/>
        </w:rPr>
        <w:t xml:space="preserve">Cotisation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0 GNF — intégralement financé par dotation budgétaire de l'État</w:t>
      </w:r>
    </w:p>
    <w:p>
      <w:pPr>
        <w:pStyle w:val="ListParagraph"/>
        <w:numPr>
          <w:ilvl w:val="0"/>
          <w:numId w:val="2"/>
        </w:numPr>
        <w:spacing w:after="40" w:before="40" w:line="280"/>
      </w:pPr>
      <w:r>
        <w:rPr>
          <w:rFonts w:ascii="Calibri" w:cs="Calibri" w:eastAsia="Calibri" w:hAnsi="Calibri"/>
          <w:b/>
          <w:bCs/>
          <w:color w:val="0F4A2E"/>
          <w:sz w:val="22"/>
          <w:szCs w:val="22"/>
        </w:rPr>
        <w:t xml:space="preserve">Prise en charge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100 % du tarif national — gratuité totale pour le bénéficiaire</w:t>
      </w:r>
    </w:p>
    <w:p>
      <w:pPr>
        <w:pStyle w:val="ListParagraph"/>
        <w:numPr>
          <w:ilvl w:val="0"/>
          <w:numId w:val="2"/>
        </w:numPr>
        <w:spacing w:after="40" w:before="40" w:line="280"/>
      </w:pPr>
      <w:r>
        <w:rPr>
          <w:rFonts w:ascii="Calibri" w:cs="Calibri" w:eastAsia="Calibri" w:hAnsi="Calibri"/>
          <w:b/>
          <w:bCs/>
          <w:color w:val="0F4A2E"/>
          <w:sz w:val="22"/>
          <w:szCs w:val="22"/>
        </w:rPr>
        <w:t xml:space="preserve">Ticket modérateur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Aucun</w:t>
      </w:r>
    </w:p>
    <w:p>
      <w:pPr>
        <w:pStyle w:val="ListParagraph"/>
        <w:numPr>
          <w:ilvl w:val="0"/>
          <w:numId w:val="2"/>
        </w:numPr>
        <w:spacing w:after="40" w:before="40" w:line="280"/>
      </w:pPr>
      <w:r>
        <w:rPr>
          <w:rFonts w:ascii="Calibri" w:cs="Calibri" w:eastAsia="Calibri" w:hAnsi="Calibri"/>
          <w:b/>
          <w:bCs/>
          <w:color w:val="0F4A2E"/>
          <w:sz w:val="22"/>
          <w:szCs w:val="22"/>
        </w:rPr>
        <w:t xml:space="preserve">Activation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Immédiate dès validation par la commission inter-ministérielle</w:t>
      </w:r>
    </w:p>
    <w:p>
      <w:pPr>
        <w:pStyle w:val="ListParagraph"/>
        <w:numPr>
          <w:ilvl w:val="0"/>
          <w:numId w:val="2"/>
        </w:numPr>
        <w:spacing w:after="40" w:before="40" w:line="280"/>
      </w:pPr>
      <w:r>
        <w:rPr>
          <w:rFonts w:ascii="Calibri" w:cs="Calibri" w:eastAsia="Calibri" w:hAnsi="Calibri"/>
          <w:b/>
          <w:bCs/>
          <w:color w:val="0F4A2E"/>
          <w:sz w:val="22"/>
          <w:szCs w:val="22"/>
        </w:rPr>
        <w:t xml:space="preserve">Conditions d'accès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Enquête sociale conduite par un agent du MASS</w:t>
      </w:r>
    </w:p>
    <w:p>
      <w:pPr>
        <w:pStyle w:val="ListParagraph"/>
        <w:numPr>
          <w:ilvl w:val="0"/>
          <w:numId w:val="2"/>
        </w:numPr>
        <w:spacing w:after="40" w:before="40" w:line="280"/>
      </w:pPr>
      <w:r>
        <w:rPr>
          <w:rFonts w:ascii="Calibri" w:cs="Calibri" w:eastAsia="Calibri" w:hAnsi="Calibri"/>
          <w:b/>
          <w:bCs/>
          <w:color w:val="0F4A2E"/>
          <w:sz w:val="22"/>
          <w:szCs w:val="22"/>
        </w:rPr>
        <w:t xml:space="preserve">Validation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Commission inter-ministérielle (MSHP + MASS)</w:t>
      </w:r>
    </w:p>
    <w:p>
      <w:pPr>
        <w:pStyle w:val="ListParagraph"/>
        <w:numPr>
          <w:ilvl w:val="0"/>
          <w:numId w:val="2"/>
        </w:numPr>
        <w:spacing w:after="40" w:before="40" w:line="280"/>
      </w:pPr>
      <w:r>
        <w:rPr>
          <w:rFonts w:ascii="Calibri" w:cs="Calibri" w:eastAsia="Calibri" w:hAnsi="Calibri"/>
          <w:b/>
          <w:bCs/>
          <w:color w:val="0F4A2E"/>
          <w:sz w:val="22"/>
          <w:szCs w:val="22"/>
        </w:rPr>
        <w:t xml:space="preserve">Réévaluation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Tous les 2 ans — vérification du maintien des conditions d'éligibilité</w:t>
      </w:r>
    </w:p>
    <w:tbl>
      <w:tblPr>
        <w:tblW w:type="dxa" w:w="9360"/>
        <w:tblBorders>
          <w:top w:val="single" w:color="FDF6E3" w:sz="4"/>
          <w:left w:val="single" w:color="C9A227" w:sz="24"/>
          <w:bottom w:val="single" w:color="FDF6E3" w:sz="4"/>
          <w:right w:val="single" w:color="FDF6E3"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RÈGLE TRANSVERSALE</w:t>
            </w:r>
          </w:p>
          <w:p>
            <w:pPr>
              <w:spacing w:after="60" w:line="280"/>
              <w:jc w:val="both"/>
            </w:pPr>
            <w:r>
              <w:rPr>
                <w:rFonts w:ascii="Calibri" w:cs="Calibri" w:eastAsia="Calibri" w:hAnsi="Calibri"/>
                <w:color w:val="2D332F"/>
                <w:sz w:val="22"/>
                <w:szCs w:val="22"/>
              </w:rPr>
              <w:t xml:space="preserve">L'adhésion CMU est nationale et portable : un bénéficiaire enrôlé dans un établissement peut faire valoir ses droits dans tout autre établissement conventionné du pays. Les soins sont facturés selon la grille tarifaire du type d'établissement où ils sont prescrits.</w:t>
            </w:r>
          </w:p>
        </w:tc>
      </w:tr>
    </w:tbl>
    <w:p>
      <w:pPr>
        <w:pStyle w:val="Heading2"/>
        <w:spacing w:after="120" w:before="360"/>
      </w:pPr>
      <w:r>
        <w:rPr>
          <w:rFonts w:ascii="Calibri" w:cs="Calibri" w:eastAsia="Calibri" w:hAnsi="Calibri"/>
          <w:b/>
          <w:bCs/>
          <w:color w:val="0F4A2E"/>
          <w:sz w:val="28"/>
          <w:szCs w:val="28"/>
        </w:rPr>
        <w:t xml:space="preserve">2.3  Les six profils de cotisation RGB</w:t>
      </w:r>
    </w:p>
    <w:p>
      <w:pPr>
        <w:spacing w:after="120" w:before="0" w:line="300"/>
        <w:jc w:val="both"/>
      </w:pPr>
      <w:r>
        <w:rPr>
          <w:rFonts w:ascii="Calibri" w:cs="Calibri" w:eastAsia="Calibri" w:hAnsi="Calibri"/>
          <w:color w:val="2D332F"/>
          <w:sz w:val="22"/>
          <w:szCs w:val="22"/>
        </w:rPr>
        <w:t xml:space="preserve">Chaque adhérent RGB est rattaché à un profil de cotisation, déterminé à l'enrôlement en fonction de son activité déclarée et justifiée.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3000"/>
        <w:gridCol w:w="1660"/>
        <w:gridCol w:w="3600"/>
      </w:tblGrid>
      <w:tr>
        <w:trPr>
          <w:tblHeader/>
        </w:trPr>
        <w:tc>
          <w:tcPr>
            <w:tcW w:type="dxa" w:w="11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Code</w:t>
            </w:r>
          </w:p>
        </w:tc>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Profil</w:t>
            </w:r>
          </w:p>
        </w:tc>
        <w:tc>
          <w:tcPr>
            <w:tcW w:type="dxa" w:w="16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Cotisation / mois</w:t>
            </w:r>
          </w:p>
        </w:tc>
        <w:tc>
          <w:tcPr>
            <w:tcW w:type="dxa" w:w="36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Justificatif</w:t>
            </w:r>
          </w:p>
        </w:tc>
      </w:tr>
      <w:tr>
        <w:tc>
          <w:tcPr>
            <w:tcW w:type="dxa" w:w="1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ARTCOM</w:t>
            </w:r>
          </w:p>
        </w:tc>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Artisan · Commerçant · Vendeur</w:t>
            </w:r>
          </w:p>
        </w:tc>
        <w:tc>
          <w:tcPr>
            <w:tcW w:type="dxa" w:w="16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5 000 GNF</w:t>
            </w:r>
          </w:p>
        </w:tc>
        <w:tc>
          <w:tcPr>
            <w:tcW w:type="dxa" w:w="3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Carte professionnelle ou attestation Chambre des Métiers / CCIAG</w:t>
            </w:r>
          </w:p>
        </w:tc>
      </w:tr>
      <w:tr>
        <w:tc>
          <w:tcPr>
            <w:tcW w:type="dxa" w:w="11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TRANSP</w:t>
            </w:r>
          </w:p>
        </w:tc>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Transporteur (taxi, moto, bus)</w:t>
            </w:r>
          </w:p>
        </w:tc>
        <w:tc>
          <w:tcPr>
            <w:tcW w:type="dxa" w:w="16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5 000 GNF</w:t>
            </w:r>
          </w:p>
        </w:tc>
        <w:tc>
          <w:tcPr>
            <w:tcW w:type="dxa" w:w="3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Carte grise + permis, ou attestation syndicat</w:t>
            </w:r>
          </w:p>
        </w:tc>
      </w:tr>
      <w:tr>
        <w:tc>
          <w:tcPr>
            <w:tcW w:type="dxa" w:w="1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SALPME</w:t>
            </w:r>
          </w:p>
        </w:tc>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Salarié PME non déclaré CNSS</w:t>
            </w:r>
          </w:p>
        </w:tc>
        <w:tc>
          <w:tcPr>
            <w:tcW w:type="dxa" w:w="16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5 000 GNF</w:t>
            </w:r>
          </w:p>
        </w:tc>
        <w:tc>
          <w:tcPr>
            <w:tcW w:type="dxa" w:w="3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Attestation employeur sur l'honneur</w:t>
            </w:r>
          </w:p>
        </w:tc>
      </w:tr>
      <w:tr>
        <w:tc>
          <w:tcPr>
            <w:tcW w:type="dxa" w:w="11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AGRIC</w:t>
            </w:r>
          </w:p>
        </w:tc>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Agriculteur · Éleveur · Pêcheur</w:t>
            </w:r>
          </w:p>
        </w:tc>
        <w:tc>
          <w:tcPr>
            <w:tcW w:type="dxa" w:w="16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2 500 GNF</w:t>
            </w:r>
          </w:p>
        </w:tc>
        <w:tc>
          <w:tcPr>
            <w:tcW w:type="dxa" w:w="3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Attestation coopérative ou de la chefferie</w:t>
            </w:r>
          </w:p>
        </w:tc>
      </w:tr>
      <w:tr>
        <w:tc>
          <w:tcPr>
            <w:tcW w:type="dxa" w:w="1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ETUD</w:t>
            </w:r>
          </w:p>
        </w:tc>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Étudiant</w:t>
            </w:r>
          </w:p>
        </w:tc>
        <w:tc>
          <w:tcPr>
            <w:tcW w:type="dxa" w:w="16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2 000 GNF</w:t>
            </w:r>
          </w:p>
        </w:tc>
        <w:tc>
          <w:tcPr>
            <w:tcW w:type="dxa" w:w="36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Carte étudiante en cours de validité</w:t>
            </w:r>
          </w:p>
        </w:tc>
      </w:tr>
      <w:tr>
        <w:tc>
          <w:tcPr>
            <w:tcW w:type="dxa" w:w="11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RETRAITE</w:t>
            </w:r>
          </w:p>
        </w:tc>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Retraité hors CNPS</w:t>
            </w:r>
          </w:p>
        </w:tc>
        <w:tc>
          <w:tcPr>
            <w:tcW w:type="dxa" w:w="16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3 000 GNF</w:t>
            </w:r>
          </w:p>
        </w:tc>
        <w:tc>
          <w:tcPr>
            <w:tcW w:type="dxa" w:w="36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Attestation de non-pension CNPS</w:t>
            </w:r>
          </w:p>
        </w:tc>
      </w:tr>
    </w:tbl>
    <w:p>
      <w:pPr>
        <w:spacing w:after="0"/>
      </w:pPr>
      <w:r>
        <w:rPr>
          <w:sz w:val="8"/>
          <w:szCs w:val="8"/>
        </w:rPr>
        <w:t xml:space="preserve"/>
      </w:r>
    </w:p>
    <w:p>
      <w:pPr>
        <w:spacing w:after="120" w:before="0" w:line="300"/>
        <w:jc w:val="both"/>
      </w:pPr>
      <w:r>
        <w:rPr>
          <w:rFonts w:ascii="Calibri" w:cs="Calibri" w:eastAsia="Calibri" w:hAnsi="Calibri"/>
          <w:color w:val="2D332F"/>
          <w:sz w:val="22"/>
          <w:szCs w:val="22"/>
        </w:rPr>
        <w:t xml:space="preserve">Les montants et libellés des profils sont paramétrables dans la table cmu_profil_cotisant et versionnés : toute modification donne lieu à la création d'une nouvelle version, appliquée à une date effective fixée par arrêté ministériel. Les cotisations en cours ne sont pas rétroactives.</w:t>
      </w:r>
    </w:p>
    <w:p>
      <w:pPr>
        <w:pStyle w:val="Heading2"/>
        <w:spacing w:after="120" w:before="360"/>
      </w:pPr>
      <w:r>
        <w:rPr>
          <w:rFonts w:ascii="Calibri" w:cs="Calibri" w:eastAsia="Calibri" w:hAnsi="Calibri"/>
          <w:b/>
          <w:bCs/>
          <w:color w:val="0F4A2E"/>
          <w:sz w:val="28"/>
          <w:szCs w:val="28"/>
        </w:rPr>
        <w:t xml:space="preserve">2.4  Organisation autour de l'établissement</w:t>
      </w:r>
    </w:p>
    <w:p>
      <w:pPr>
        <w:spacing w:after="120" w:before="0" w:line="300"/>
        <w:jc w:val="both"/>
      </w:pPr>
      <w:r>
        <w:rPr>
          <w:rFonts w:ascii="Calibri" w:cs="Calibri" w:eastAsia="Calibri" w:hAnsi="Calibri"/>
          <w:color w:val="2D332F"/>
          <w:sz w:val="22"/>
          <w:szCs w:val="22"/>
        </w:rPr>
        <w:t xml:space="preserve">L'établissement est le nœud opérationnel central de la plateforme. Chaque hôpital ou clinique conventionné dispose d'un point d'enrôlement CMU animé par du personnel désigné localement et habilité par l'administration centrale.</w:t>
      </w:r>
    </w:p>
    <w:p>
      <w:pPr>
        <w:pStyle w:val="Heading3"/>
        <w:spacing w:after="100" w:before="240"/>
      </w:pPr>
      <w:r>
        <w:rPr>
          <w:rFonts w:ascii="Calibri" w:cs="Calibri" w:eastAsia="Calibri" w:hAnsi="Calibri"/>
          <w:b/>
          <w:bCs/>
          <w:color w:val="1A5D3A"/>
          <w:sz w:val="24"/>
          <w:szCs w:val="24"/>
        </w:rPr>
        <w:t xml:space="preserve">Profils fonctionnels obligatoires</w:t>
      </w:r>
    </w:p>
    <w:p>
      <w:pPr>
        <w:spacing w:after="120" w:before="0" w:line="300"/>
        <w:jc w:val="both"/>
      </w:pPr>
      <w:r>
        <w:rPr>
          <w:rFonts w:ascii="Calibri" w:cs="Calibri" w:eastAsia="Calibri" w:hAnsi="Calibri"/>
          <w:color w:val="2D332F"/>
          <w:sz w:val="22"/>
          <w:szCs w:val="22"/>
        </w:rPr>
        <w:t xml:space="preserve">Deux profils fonctionnels sont obligatoirement définis à la création d'un établissement conventionné :</w:t>
      </w:r>
    </w:p>
    <w:p>
      <w:pPr>
        <w:pStyle w:val="ListParagraph"/>
        <w:numPr>
          <w:ilvl w:val="0"/>
          <w:numId w:val="2"/>
        </w:numPr>
        <w:spacing w:after="40" w:before="40" w:line="280"/>
      </w:pPr>
      <w:r>
        <w:rPr>
          <w:rFonts w:ascii="Calibri" w:cs="Calibri" w:eastAsia="Calibri" w:hAnsi="Calibri"/>
          <w:b/>
          <w:bCs/>
          <w:color w:val="0F4A2E"/>
          <w:sz w:val="22"/>
          <w:szCs w:val="22"/>
        </w:rPr>
        <w:t xml:space="preserve">AGENT_CMU_ENROLEMENT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Enrôle les citoyens, rattache les ayants droit, effectue les prises en charge au guichet</w:t>
      </w:r>
    </w:p>
    <w:p>
      <w:pPr>
        <w:pStyle w:val="ListParagraph"/>
        <w:numPr>
          <w:ilvl w:val="0"/>
          <w:numId w:val="2"/>
        </w:numPr>
        <w:spacing w:after="40" w:before="40" w:line="280"/>
      </w:pPr>
      <w:r>
        <w:rPr>
          <w:rFonts w:ascii="Calibri" w:cs="Calibri" w:eastAsia="Calibri" w:hAnsi="Calibri"/>
          <w:b/>
          <w:bCs/>
          <w:color w:val="0F4A2E"/>
          <w:sz w:val="22"/>
          <w:szCs w:val="22"/>
        </w:rPr>
        <w:t xml:space="preserve">AGENT_CMU_FACTURATION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Consulte les PEC de son établissement, génère les dossiers de remboursement, suit les paiements de la Caisse</w:t>
      </w:r>
    </w:p>
    <w:p>
      <w:pPr>
        <w:pStyle w:val="Heading3"/>
        <w:spacing w:after="100" w:before="240"/>
      </w:pPr>
      <w:r>
        <w:rPr>
          <w:rFonts w:ascii="Calibri" w:cs="Calibri" w:eastAsia="Calibri" w:hAnsi="Calibri"/>
          <w:b/>
          <w:bCs/>
          <w:color w:val="1A5D3A"/>
          <w:sz w:val="24"/>
          <w:szCs w:val="24"/>
        </w:rPr>
        <w:t xml:space="preserve">Profil fonctionnel optionnel</w:t>
      </w:r>
    </w:p>
    <w:p>
      <w:pPr>
        <w:pStyle w:val="ListParagraph"/>
        <w:numPr>
          <w:ilvl w:val="0"/>
          <w:numId w:val="2"/>
        </w:numPr>
        <w:spacing w:after="40" w:before="40" w:line="280"/>
      </w:pPr>
      <w:r>
        <w:rPr>
          <w:rFonts w:ascii="Calibri" w:cs="Calibri" w:eastAsia="Calibri" w:hAnsi="Calibri"/>
          <w:b/>
          <w:bCs/>
          <w:color w:val="0F4A2E"/>
          <w:sz w:val="22"/>
          <w:szCs w:val="22"/>
        </w:rPr>
        <w:t xml:space="preserve">DIRECTEUR_ETABLISSEMENT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Consultation des statistiques de l'établissement et validation interne des dossiers de remboursement avant soumission</w:t>
      </w:r>
    </w:p>
    <w:p>
      <w:pPr>
        <w:pStyle w:val="Heading3"/>
        <w:spacing w:after="100" w:before="240"/>
      </w:pPr>
      <w:r>
        <w:rPr>
          <w:rFonts w:ascii="Calibri" w:cs="Calibri" w:eastAsia="Calibri" w:hAnsi="Calibri"/>
          <w:b/>
          <w:bCs/>
          <w:color w:val="1A5D3A"/>
          <w:sz w:val="24"/>
          <w:szCs w:val="24"/>
        </w:rPr>
        <w:t xml:space="preserve">Types d'établissement pris en charge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2960"/>
      </w:tblGrid>
      <w:tr>
        <w:trPr>
          <w:tblHeader/>
        </w:trPr>
        <w:tc>
          <w:tcPr>
            <w:tcW w:type="dxa" w:w="15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Code</w:t>
            </w:r>
          </w:p>
        </w:tc>
        <w:tc>
          <w:tcPr>
            <w:tcW w:type="dxa" w:w="4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29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Niveau pyramidal</w:t>
            </w:r>
          </w:p>
        </w:tc>
      </w:tr>
      <w:tr>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CHU</w:t>
            </w:r>
          </w:p>
        </w:tc>
        <w:tc>
          <w:tcPr>
            <w:tcW w:type="dxa" w:w="4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Centre Hospitalier Universitaire</w:t>
            </w:r>
          </w:p>
        </w:tc>
        <w:tc>
          <w:tcPr>
            <w:tcW w:type="dxa" w:w="2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Niveau 1 (sommet)</w:t>
            </w:r>
          </w:p>
        </w:tc>
      </w:tr>
      <w:tr>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HR</w:t>
            </w:r>
          </w:p>
        </w:tc>
        <w:tc>
          <w:tcPr>
            <w:tcW w:type="dxa" w:w="4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Hôpital Régional</w:t>
            </w:r>
          </w:p>
        </w:tc>
        <w:tc>
          <w:tcPr>
            <w:tcW w:type="dxa" w:w="29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Niveau 2</w:t>
            </w:r>
          </w:p>
        </w:tc>
      </w:tr>
      <w:tr>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HP</w:t>
            </w:r>
          </w:p>
        </w:tc>
        <w:tc>
          <w:tcPr>
            <w:tcW w:type="dxa" w:w="4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Hôpital Préfectoral</w:t>
            </w:r>
          </w:p>
        </w:tc>
        <w:tc>
          <w:tcPr>
            <w:tcW w:type="dxa" w:w="2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Niveau 3</w:t>
            </w:r>
          </w:p>
        </w:tc>
      </w:tr>
      <w:tr>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CMC</w:t>
            </w:r>
          </w:p>
        </w:tc>
        <w:tc>
          <w:tcPr>
            <w:tcW w:type="dxa" w:w="4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Centre Médical Communal</w:t>
            </w:r>
          </w:p>
        </w:tc>
        <w:tc>
          <w:tcPr>
            <w:tcW w:type="dxa" w:w="29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Niveau 4</w:t>
            </w:r>
          </w:p>
        </w:tc>
      </w:tr>
      <w:tr>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CS</w:t>
            </w:r>
          </w:p>
        </w:tc>
        <w:tc>
          <w:tcPr>
            <w:tcW w:type="dxa" w:w="4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Centre de Santé</w:t>
            </w:r>
          </w:p>
        </w:tc>
        <w:tc>
          <w:tcPr>
            <w:tcW w:type="dxa" w:w="2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Niveau 5</w:t>
            </w:r>
          </w:p>
        </w:tc>
      </w:tr>
      <w:tr>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PS</w:t>
            </w:r>
          </w:p>
        </w:tc>
        <w:tc>
          <w:tcPr>
            <w:tcW w:type="dxa" w:w="4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Poste de Santé</w:t>
            </w:r>
          </w:p>
        </w:tc>
        <w:tc>
          <w:tcPr>
            <w:tcW w:type="dxa" w:w="29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Niveau 6 (base)</w:t>
            </w:r>
          </w:p>
        </w:tc>
      </w:tr>
      <w:tr>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CL_PRIV</w:t>
            </w:r>
          </w:p>
        </w:tc>
        <w:tc>
          <w:tcPr>
            <w:tcW w:type="dxa" w:w="4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Clinique privée conventionnée</w:t>
            </w:r>
          </w:p>
        </w:tc>
        <w:tc>
          <w:tcPr>
            <w:tcW w:type="dxa" w:w="2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Tarification dédiée</w:t>
            </w:r>
          </w:p>
        </w:tc>
      </w:tr>
      <w:tr>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CAB_PRIV</w:t>
            </w:r>
          </w:p>
        </w:tc>
        <w:tc>
          <w:tcPr>
            <w:tcW w:type="dxa" w:w="4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Cabinet privé conventionné</w:t>
            </w:r>
          </w:p>
        </w:tc>
        <w:tc>
          <w:tcPr>
            <w:tcW w:type="dxa" w:w="29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Tarification dédiée</w:t>
            </w:r>
          </w:p>
        </w:tc>
      </w:tr>
      <w:tr>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DISP</w:t>
            </w:r>
          </w:p>
        </w:tc>
        <w:tc>
          <w:tcPr>
            <w:tcW w:type="dxa" w:w="4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Dispensaire</w:t>
            </w:r>
          </w:p>
        </w:tc>
        <w:tc>
          <w:tcPr>
            <w:tcW w:type="dxa" w:w="29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Niveau 6</w:t>
            </w:r>
          </w:p>
        </w:tc>
      </w:tr>
    </w:tbl>
    <w:p>
      <w:pPr>
        <w:spacing w:after="0"/>
      </w:pPr>
      <w:r>
        <w:rPr>
          <w:sz w:val="8"/>
          <w:szCs w:val="8"/>
        </w:rPr>
        <w:t xml:space="preserve"/>
      </w:r>
    </w:p>
    <w:p>
      <w:pPr>
        <w:spacing w:after="120" w:before="0" w:line="300"/>
        <w:jc w:val="both"/>
      </w:pPr>
      <w:r>
        <w:rPr>
          <w:rFonts w:ascii="Calibri" w:cs="Calibri" w:eastAsia="Calibri" w:hAnsi="Calibri"/>
          <w:color w:val="2D332F"/>
          <w:sz w:val="22"/>
          <w:szCs w:val="22"/>
        </w:rPr>
        <w:t xml:space="preserve">La tarification du secteur privé est décidée unilatéralement par le MSHP au même titre que celle du secteur public. Il n'existe pas de négociation locale : tous les établissements conventionnés d'un même type appliquent la même grille tarifaire nationale.</w:t>
      </w:r>
    </w:p>
    <w:p>
      <w:pPr>
        <w:pStyle w:val="Heading3"/>
        <w:spacing w:after="100" w:before="240"/>
      </w:pPr>
      <w:r>
        <w:rPr>
          <w:rFonts w:ascii="Calibri" w:cs="Calibri" w:eastAsia="Calibri" w:hAnsi="Calibri"/>
          <w:b/>
          <w:bCs/>
          <w:color w:val="1A5D3A"/>
          <w:sz w:val="24"/>
          <w:szCs w:val="24"/>
        </w:rPr>
        <w:t xml:space="preserve">Statut d'un établissement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100"/>
        <w:gridCol w:w="3060"/>
      </w:tblGrid>
      <w:tr>
        <w:trPr>
          <w:tblHeader/>
        </w:trPr>
        <w:tc>
          <w:tcPr>
            <w:tcW w:type="dxa" w:w="3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Statut</w:t>
            </w:r>
          </w:p>
        </w:tc>
        <w:tc>
          <w:tcPr>
            <w:tcW w:type="dxa" w:w="31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c>
          <w:tcPr>
            <w:tcW w:type="dxa" w:w="30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Effet opérationnel</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w:t>
            </w:r>
          </w:p>
        </w:tc>
        <w:tc>
          <w:tcPr>
            <w:tcW w:type="dxa" w:w="3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Établissement pleinement opérationnel</w:t>
            </w:r>
          </w:p>
        </w:tc>
        <w:tc>
          <w:tcPr>
            <w:tcW w:type="dxa" w:w="3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Les deux profils connectés, PEC autorisées</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EN_COURS_CONVENTIONNEMENT</w:t>
            </w:r>
          </w:p>
        </w:tc>
        <w:tc>
          <w:tcPr>
            <w:tcW w:type="dxa" w:w="31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Inscrit au référentiel mais non opérationnel</w:t>
            </w:r>
          </w:p>
        </w:tc>
        <w:tc>
          <w:tcPr>
            <w:tcW w:type="dxa" w:w="3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Connexions bloquées, aucune PEC possible</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SUSPENDU</w:t>
            </w:r>
          </w:p>
        </w:tc>
        <w:tc>
          <w:tcPr>
            <w:tcW w:type="dxa" w:w="31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Suspendu temporairement (audit, manquement)</w:t>
            </w:r>
          </w:p>
        </w:tc>
        <w:tc>
          <w:tcPr>
            <w:tcW w:type="dxa" w:w="3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Connexions bloquées, PEC impossibles</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INACTIF</w:t>
            </w:r>
          </w:p>
        </w:tc>
        <w:tc>
          <w:tcPr>
            <w:tcW w:type="dxa" w:w="31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Désaffilié définitivement</w:t>
            </w:r>
          </w:p>
        </w:tc>
        <w:tc>
          <w:tcPr>
            <w:tcW w:type="dxa" w:w="3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Historique conservé, aucune action possible</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2.5  Hiérarchie géographique</w:t>
      </w:r>
    </w:p>
    <w:p>
      <w:pPr>
        <w:spacing w:after="120" w:before="0" w:line="300"/>
        <w:jc w:val="both"/>
      </w:pPr>
      <w:r>
        <w:rPr>
          <w:rFonts w:ascii="Calibri" w:cs="Calibri" w:eastAsia="Calibri" w:hAnsi="Calibri"/>
          <w:color w:val="2D332F"/>
          <w:sz w:val="22"/>
          <w:szCs w:val="22"/>
        </w:rPr>
        <w:t xml:space="preserve">La plateforme respecte le découpage administratif officiel de la République de Guinée :</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  National</w:t>
            </w:r>
          </w:p>
          <w:p>
            <w:pPr>
              <w:spacing w:after="20" w:before="0" w:line="260"/>
            </w:pPr>
            <w:r>
              <w:rPr>
                <w:rFonts w:ascii="Consolas" w:cs="Consolas" w:eastAsia="Consolas" w:hAnsi="Consolas"/>
                <w:color w:val="0A3622"/>
                <w:sz w:val="18"/>
                <w:szCs w:val="18"/>
              </w:rPr>
              <w:t xml:space="preserve">    └── Région administrative (8 régions : Boké, Conakry, Faranah,</w:t>
            </w:r>
          </w:p>
          <w:p>
            <w:pPr>
              <w:spacing w:after="20" w:before="0" w:line="260"/>
            </w:pPr>
            <w:r>
              <w:rPr>
                <w:rFonts w:ascii="Consolas" w:cs="Consolas" w:eastAsia="Consolas" w:hAnsi="Consolas"/>
                <w:color w:val="0A3622"/>
                <w:sz w:val="18"/>
                <w:szCs w:val="18"/>
              </w:rPr>
              <w:t xml:space="preserve">         Kankan, Kindia, Labé, Mamou, Nzérékoré)</w:t>
            </w:r>
          </w:p>
          <w:p>
            <w:pPr>
              <w:spacing w:after="20" w:before="0" w:line="260"/>
            </w:pPr>
            <w:r>
              <w:rPr>
                <w:rFonts w:ascii="Consolas" w:cs="Consolas" w:eastAsia="Consolas" w:hAnsi="Consolas"/>
                <w:color w:val="0A3622"/>
                <w:sz w:val="18"/>
                <w:szCs w:val="18"/>
              </w:rPr>
              <w:t xml:space="preserve">          └── Préfecture (33 préfectures + 5 communes de Conakry)</w:t>
            </w:r>
          </w:p>
          <w:p>
            <w:pPr>
              <w:spacing w:after="20" w:before="0" w:line="260"/>
            </w:pPr>
            <w:r>
              <w:rPr>
                <w:rFonts w:ascii="Consolas" w:cs="Consolas" w:eastAsia="Consolas" w:hAnsi="Consolas"/>
                <w:color w:val="0A3622"/>
                <w:sz w:val="18"/>
                <w:szCs w:val="18"/>
              </w:rPr>
              <w:t xml:space="preserve">               └── Sous-préfecture ou commune urbaine</w:t>
            </w:r>
          </w:p>
          <w:p>
            <w:pPr>
              <w:spacing w:after="20" w:before="0" w:line="260"/>
            </w:pPr>
            <w:r>
              <w:rPr>
                <w:rFonts w:ascii="Consolas" w:cs="Consolas" w:eastAsia="Consolas" w:hAnsi="Consolas"/>
                <w:color w:val="0A3622"/>
                <w:sz w:val="18"/>
                <w:szCs w:val="18"/>
              </w:rPr>
              <w:t xml:space="preserve">                    └── Établissement de santé</w:t>
            </w:r>
          </w:p>
        </w:tc>
      </w:tr>
    </w:tbl>
    <w:p>
      <w:pPr>
        <w:spacing w:after="0"/>
      </w:pPr>
      <w:r>
        <w:rPr>
          <w:sz w:val="4"/>
          <w:szCs w:val="4"/>
        </w:rPr>
        <w:t xml:space="preserve"/>
      </w:r>
    </w:p>
    <w:p>
      <w:pPr>
        <w:pStyle w:val="Heading2"/>
        <w:spacing w:after="120" w:before="360"/>
      </w:pPr>
      <w:r>
        <w:rPr>
          <w:rFonts w:ascii="Calibri" w:cs="Calibri" w:eastAsia="Calibri" w:hAnsi="Calibri"/>
          <w:b/>
          <w:bCs/>
          <w:color w:val="0F4A2E"/>
          <w:sz w:val="28"/>
          <w:szCs w:val="28"/>
        </w:rPr>
        <w:t xml:space="preserve">2.6  Hiérarchie des rôles plateforme</w:t>
      </w:r>
    </w:p>
    <w:p>
      <w:pPr>
        <w:spacing w:after="120" w:before="0" w:line="300"/>
        <w:jc w:val="both"/>
      </w:pPr>
      <w:r>
        <w:rPr>
          <w:rFonts w:ascii="Calibri" w:cs="Calibri" w:eastAsia="Calibri" w:hAnsi="Calibri"/>
          <w:color w:val="2D332F"/>
          <w:sz w:val="22"/>
          <w:szCs w:val="22"/>
        </w:rPr>
        <w:t xml:space="preserve">Au-delà des deux profils fonctionnels par établissement, la plateforme définit une hiérarchie complète de rôles répartis par portée (nationale, régionale, établissement)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4360"/>
      </w:tblGrid>
      <w:tr>
        <w:trPr>
          <w:tblHeader/>
        </w:trPr>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2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Portée</w:t>
            </w:r>
          </w:p>
        </w:tc>
        <w:tc>
          <w:tcPr>
            <w:tcW w:type="dxa" w:w="43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SUPER_ADMIN_CMU</w:t>
            </w:r>
          </w:p>
        </w:tc>
        <w:tc>
          <w:tcPr>
            <w:tcW w:type="dxa" w:w="2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4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Super-utilisateur — gestion des admins, audit global</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2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43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Configure établissements, nomenclature, tarifs, utilisateurs</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VALIDATEUR_CENTRAL</w:t>
            </w:r>
          </w:p>
        </w:tc>
        <w:tc>
          <w:tcPr>
            <w:tcW w:type="dxa" w:w="2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4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Valide/rejette les dossiers RGB soumis</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COMMISSION_RAM</w:t>
            </w:r>
          </w:p>
        </w:tc>
        <w:tc>
          <w:tcPr>
            <w:tcW w:type="dxa" w:w="2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43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Valide les dossiers RAM (rôle multi-personne MSHP + MASS)</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AGENT_SOCIAL_RAM</w:t>
            </w:r>
          </w:p>
        </w:tc>
        <w:tc>
          <w:tcPr>
            <w:tcW w:type="dxa" w:w="2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Nationale/régionale</w:t>
            </w:r>
          </w:p>
        </w:tc>
        <w:tc>
          <w:tcPr>
            <w:tcW w:type="dxa" w:w="4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Conduit les enquêtes sociales RAM</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CAISSE_NATIONALE</w:t>
            </w:r>
          </w:p>
        </w:tc>
        <w:tc>
          <w:tcPr>
            <w:tcW w:type="dxa" w:w="2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Nationale</w:t>
            </w:r>
          </w:p>
        </w:tc>
        <w:tc>
          <w:tcPr>
            <w:tcW w:type="dxa" w:w="43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Instruit et paie les dossiers de remboursement</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SUPERVISEUR_REGIONAL</w:t>
            </w:r>
          </w:p>
        </w:tc>
        <w:tc>
          <w:tcPr>
            <w:tcW w:type="dxa" w:w="2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Régionale</w:t>
            </w:r>
          </w:p>
        </w:tc>
        <w:tc>
          <w:tcPr>
            <w:tcW w:type="dxa" w:w="4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Consultation des statistiques de sa région (analytique)</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AGENT_CMU_ENROLEMENT</w:t>
            </w:r>
          </w:p>
        </w:tc>
        <w:tc>
          <w:tcPr>
            <w:tcW w:type="dxa" w:w="2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Établissement</w:t>
            </w:r>
          </w:p>
        </w:tc>
        <w:tc>
          <w:tcPr>
            <w:tcW w:type="dxa" w:w="43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Enrôle et effectue les PEC</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AGENT_CMU_FACTURATION</w:t>
            </w:r>
          </w:p>
        </w:tc>
        <w:tc>
          <w:tcPr>
            <w:tcW w:type="dxa" w:w="2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Établissement</w:t>
            </w:r>
          </w:p>
        </w:tc>
        <w:tc>
          <w:tcPr>
            <w:tcW w:type="dxa" w:w="4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Génère les dossiers de remboursement</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DIRECTEUR_ETABLISSEMENT</w:t>
            </w:r>
          </w:p>
        </w:tc>
        <w:tc>
          <w:tcPr>
            <w:tcW w:type="dxa" w:w="2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Établissement</w:t>
            </w:r>
          </w:p>
        </w:tc>
        <w:tc>
          <w:tcPr>
            <w:tcW w:type="dxa" w:w="43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Consultation et validation interne (optionnel)</w:t>
            </w:r>
          </w:p>
        </w:tc>
      </w:tr>
    </w:tbl>
    <w:p>
      <w:pPr>
        <w:spacing w:after="0"/>
      </w:pPr>
      <w:r>
        <w:rPr>
          <w:sz w:val="8"/>
          <w:szCs w:val="8"/>
        </w:rPr>
        <w:t xml:space="preserve"/>
      </w:r>
    </w:p>
    <w:p>
      <w:pPr>
        <w:spacing w:after="120" w:before="0" w:line="300"/>
        <w:jc w:val="both"/>
      </w:pPr>
      <w:r>
        <w:rPr>
          <w:rFonts w:ascii="Calibri" w:cs="Calibri" w:eastAsia="Calibri" w:hAnsi="Calibri"/>
          <w:color w:val="2D332F"/>
          <w:sz w:val="22"/>
          <w:szCs w:val="22"/>
        </w:rPr>
        <w:t xml:space="preserve">Un même utilisateur peut cumuler plusieurs rôles. Par exemple, dans un petit centre de santé, le directeur peut aussi être l'agent d'enrôlement et l'agent de facturation. La table de jointure cmu_utilisateur_role autorise le multi-rôle.</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3. </w:t>
      </w:r>
      <w:r>
        <w:rPr>
          <w:rFonts w:ascii="Calibri" w:cs="Calibri" w:eastAsia="Calibri" w:hAnsi="Calibri"/>
          <w:b/>
          <w:bCs/>
          <w:color w:val="0A3622"/>
          <w:sz w:val="40"/>
          <w:szCs w:val="40"/>
        </w:rPr>
        <w:t xml:space="preserve">Cycles de vie</w:t>
      </w:r>
    </w:p>
    <w:p>
      <w:pPr>
        <w:spacing w:after="40" w:before="200"/>
      </w:pPr>
      <w:r>
        <w:rPr>
          <w:rFonts w:ascii="Calibri" w:cs="Calibri" w:eastAsia="Calibri" w:hAnsi="Calibri"/>
          <w:b/>
          <w:bCs/>
          <w:color w:val="8B6508"/>
          <w:spacing w:val="40"/>
          <w:sz w:val="16"/>
          <w:szCs w:val="16"/>
        </w:rPr>
        <w:t xml:space="preserve">Machines à états des entités principales</w:t>
      </w:r>
    </w:p>
    <w:p>
      <w:pPr>
        <w:spacing w:after="120" w:before="0" w:line="300"/>
        <w:jc w:val="both"/>
      </w:pPr>
      <w:r>
        <w:rPr>
          <w:rFonts w:ascii="Calibri" w:cs="Calibri" w:eastAsia="Calibri" w:hAnsi="Calibri"/>
          <w:color w:val="2D332F"/>
          <w:sz w:val="22"/>
          <w:szCs w:val="22"/>
        </w:rPr>
        <w:t xml:space="preserve">Cette section décrit les machines à états finis qui régissent les principales entités métier de la plateforme : le dossier d'adhésion RGB, le dossier d'adhésion RAM, et le prélèvement mensuel des cotisations.</w:t>
      </w:r>
    </w:p>
    <w:p>
      <w:pPr>
        <w:pStyle w:val="Heading2"/>
        <w:spacing w:after="120" w:before="360"/>
      </w:pPr>
      <w:r>
        <w:rPr>
          <w:rFonts w:ascii="Calibri" w:cs="Calibri" w:eastAsia="Calibri" w:hAnsi="Calibri"/>
          <w:b/>
          <w:bCs/>
          <w:color w:val="0F4A2E"/>
          <w:sz w:val="28"/>
          <w:szCs w:val="28"/>
        </w:rPr>
        <w:t xml:space="preserve">3.1  Dossier d'adhésion RGB</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  Agent CMU enrôle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BROUILLON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soumission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SOUMIS</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REJETE            VALIDE</w:t>
            </w:r>
          </w:p>
          <w:p>
            <w:pPr>
              <w:spacing w:after="20" w:before="0" w:line="260"/>
            </w:pPr>
            <w:r>
              <w:rPr>
                <w:rFonts w:ascii="Consolas" w:cs="Consolas" w:eastAsia="Consolas" w:hAnsi="Consolas"/>
                <w:color w:val="0A3622"/>
                <w:sz w:val="18"/>
                <w:szCs w:val="18"/>
              </w:rPr>
              <w:t xml:space="preserve">  (reprise              │</w:t>
            </w:r>
          </w:p>
          <w:p>
            <w:pPr>
              <w:spacing w:after="20" w:before="0" w:line="260"/>
            </w:pPr>
            <w:r>
              <w:rPr>
                <w:rFonts w:ascii="Consolas" w:cs="Consolas" w:eastAsia="Consolas" w:hAnsi="Consolas"/>
                <w:color w:val="0A3622"/>
                <w:sz w:val="18"/>
                <w:szCs w:val="18"/>
              </w:rPr>
              <w:t xml:space="preserve">  par agent)   au 1er jour du mois suivant</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EN_ATTENTE_ACTIVATION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activation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ACTIF ◀──────┐</w:t>
            </w:r>
          </w:p>
          <w:p>
            <w:pPr>
              <w:spacing w:after="20" w:before="0" w:line="260"/>
            </w:pPr>
            <w:r>
              <w:rPr>
                <w:rFonts w:ascii="Consolas" w:cs="Consolas" w:eastAsia="Consolas" w:hAnsi="Consolas"/>
                <w:color w:val="0A3622"/>
                <w:sz w:val="18"/>
                <w:szCs w:val="18"/>
              </w:rPr>
              <w:t xml:space="preserve">                        │         │ régularisation</w:t>
            </w:r>
          </w:p>
          <w:p>
            <w:pPr>
              <w:spacing w:after="20" w:before="0" w:line="260"/>
            </w:pPr>
            <w:r>
              <w:rPr>
                <w:rFonts w:ascii="Consolas" w:cs="Consolas" w:eastAsia="Consolas" w:hAnsi="Consolas"/>
                <w:color w:val="0A3622"/>
                <w:sz w:val="18"/>
                <w:szCs w:val="18"/>
              </w:rPr>
              <w:t xml:space="preserve">                (échec prélèvement)</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ACTIF_EN_RETARD   │</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(2ᵉ échec consécutif)</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SUSPENDU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(résiliation / décès)</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CLOTURE</w:t>
            </w:r>
          </w:p>
        </w:tc>
      </w:tr>
    </w:tbl>
    <w:p>
      <w:pPr>
        <w:spacing w:after="0"/>
      </w:pPr>
      <w:r>
        <w:rPr>
          <w:sz w:val="4"/>
          <w:szCs w:val="4"/>
        </w:rPr>
        <w:t xml:space="preserve"/>
      </w:r>
    </w:p>
    <w:p>
      <w:pPr>
        <w:spacing w:after="120" w:before="0" w:line="300"/>
        <w:jc w:val="both"/>
      </w:pPr>
      <w:r>
        <w:rPr>
          <w:rFonts w:ascii="Calibri" w:cs="Calibri" w:eastAsia="Calibri" w:hAnsi="Calibri"/>
          <w:color w:val="2D332F"/>
          <w:sz w:val="22"/>
          <w:szCs w:val="22"/>
        </w:rPr>
        <w:t xml:space="preserve">Chaque transition d'état est tracée dans la table cmu_historique_statut avec horodatage, auteur et motif éventuel. La table préserve l'intégralité du parcours du dossier et constitue la source unique pour l'audit et la reconstitution historique.</w:t>
      </w:r>
    </w:p>
    <w:p>
      <w:pPr>
        <w:pStyle w:val="Heading2"/>
        <w:spacing w:after="120" w:before="360"/>
      </w:pPr>
      <w:r>
        <w:rPr>
          <w:rFonts w:ascii="Calibri" w:cs="Calibri" w:eastAsia="Calibri" w:hAnsi="Calibri"/>
          <w:b/>
          <w:bCs/>
          <w:color w:val="0F4A2E"/>
          <w:sz w:val="28"/>
          <w:szCs w:val="28"/>
        </w:rPr>
        <w:t xml:space="preserve">3.2  Dossier d'adhésion RAM</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  Signalement / demande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BROUILLON_RAM</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déclenchement enquête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ENQUETE_EN_COURS</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rapport d'enquête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COMMISSION_INTERMIN</w:t>
            </w:r>
          </w:p>
          <w:p>
            <w:pPr>
              <w:spacing w:after="20" w:before="0" w:line="260"/>
            </w:pPr>
            <w:r>
              <w:rPr>
                <w:rFonts w:ascii="Consolas" w:cs="Consolas" w:eastAsia="Consolas" w:hAnsi="Consolas"/>
                <w:color w:val="0A3622"/>
                <w:sz w:val="18"/>
                <w:szCs w:val="18"/>
              </w:rPr>
              <w:t xml:space="preserve">   (instruction MSHP + MASS)</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RAM_REJETE          RAM_ACTIF</w:t>
            </w:r>
          </w:p>
          <w:p>
            <w:pPr>
              <w:spacing w:after="20" w:before="0" w:line="260"/>
            </w:pPr>
            <w:r>
              <w:rPr>
                <w:rFonts w:ascii="Consolas" w:cs="Consolas" w:eastAsia="Consolas" w:hAnsi="Consolas"/>
                <w:color w:val="0A3622"/>
                <w:sz w:val="18"/>
                <w:szCs w:val="18"/>
              </w:rPr>
              <w:t xml:space="preserve">  (motif                │</w:t>
            </w:r>
          </w:p>
          <w:p>
            <w:pPr>
              <w:spacing w:after="20" w:before="0" w:line="260"/>
            </w:pPr>
            <w:r>
              <w:rPr>
                <w:rFonts w:ascii="Consolas" w:cs="Consolas" w:eastAsia="Consolas" w:hAnsi="Consolas"/>
                <w:color w:val="0A3622"/>
                <w:sz w:val="18"/>
                <w:szCs w:val="18"/>
              </w:rPr>
              <w:t xml:space="preserve">  inscrit)      (réévaluation tous les 2 ans)</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RAM_A_REEVALUER</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RAM_RENOUVELE         TRANSITION_RGB</w:t>
            </w:r>
          </w:p>
          <w:p>
            <w:pPr>
              <w:spacing w:after="20" w:before="0" w:line="260"/>
            </w:pPr>
            <w:r>
              <w:rPr>
                <w:rFonts w:ascii="Consolas" w:cs="Consolas" w:eastAsia="Consolas" w:hAnsi="Consolas"/>
                <w:color w:val="0A3622"/>
                <w:sz w:val="18"/>
                <w:szCs w:val="18"/>
              </w:rPr>
              <w:t xml:space="preserve">         (RAM_ACTIF)     (si situation améliorée)</w:t>
            </w:r>
          </w:p>
        </w:tc>
      </w:tr>
    </w:tbl>
    <w:p>
      <w:pPr>
        <w:spacing w:after="0"/>
      </w:pPr>
      <w:r>
        <w:rPr>
          <w:sz w:val="4"/>
          <w:szCs w:val="4"/>
        </w:rPr>
        <w:t xml:space="preserve"/>
      </w:r>
    </w:p>
    <w:p>
      <w:pPr>
        <w:spacing w:after="120" w:before="0" w:line="300"/>
        <w:jc w:val="both"/>
      </w:pPr>
      <w:r>
        <w:rPr>
          <w:rFonts w:ascii="Calibri" w:cs="Calibri" w:eastAsia="Calibri" w:hAnsi="Calibri"/>
          <w:color w:val="2D332F"/>
          <w:sz w:val="22"/>
          <w:szCs w:val="22"/>
        </w:rPr>
        <w:t xml:space="preserve">La réévaluation automatique est déclenchée par une tâche planifiée qui positionne les dossiers en statut RAM_A_REEVALUER dès que leur date d'échéance (RAM_ACTIF + 2 ans) est atteinte. Le bénéficiaire reçoit une notification SMS et une enquête complémentaire est conduite. En cas de non-renouvellement dans un délai de 90 jours, le dossier est suspendu.</w:t>
      </w:r>
    </w:p>
    <w:p>
      <w:pPr>
        <w:pStyle w:val="Heading2"/>
        <w:spacing w:after="120" w:before="360"/>
      </w:pPr>
      <w:r>
        <w:rPr>
          <w:rFonts w:ascii="Calibri" w:cs="Calibri" w:eastAsia="Calibri" w:hAnsi="Calibri"/>
          <w:b/>
          <w:bCs/>
          <w:color w:val="0F4A2E"/>
          <w:sz w:val="28"/>
          <w:szCs w:val="28"/>
        </w:rPr>
        <w:t xml:space="preserve">3.3  Prélèvement mensuel des cotisations (RGB uniquement)</w:t>
      </w:r>
    </w:p>
    <w:p>
      <w:pPr>
        <w:spacing w:after="120" w:before="0" w:line="300"/>
        <w:jc w:val="both"/>
      </w:pPr>
      <w:r>
        <w:rPr>
          <w:rFonts w:ascii="Calibri" w:cs="Calibri" w:eastAsia="Calibri" w:hAnsi="Calibri"/>
          <w:color w:val="2D332F"/>
          <w:sz w:val="22"/>
          <w:szCs w:val="22"/>
        </w:rPr>
        <w:t xml:space="preserve">Le prélèvement est entièrement automatisé et déclenché par une tâche planifiée chaque mois. Le RAM n'est pas concerné : les bénéficiaires RAM ne cotisent pas.</w:t>
      </w:r>
    </w:p>
    <w:p>
      <w:pPr>
        <w:pStyle w:val="Heading3"/>
        <w:spacing w:after="100" w:before="240"/>
      </w:pPr>
      <w:r>
        <w:rPr>
          <w:rFonts w:ascii="Calibri" w:cs="Calibri" w:eastAsia="Calibri" w:hAnsi="Calibri"/>
          <w:b/>
          <w:bCs/>
          <w:color w:val="1A5D3A"/>
          <w:sz w:val="24"/>
          <w:szCs w:val="24"/>
        </w:rPr>
        <w:t xml:space="preserve">Déclenchement — 1er du mois à 06h00</w:t>
      </w:r>
    </w:p>
    <w:p>
      <w:pPr>
        <w:pStyle w:val="ListParagraph"/>
        <w:numPr>
          <w:ilvl w:val="0"/>
          <w:numId w:val="3"/>
        </w:numPr>
        <w:spacing w:after="40" w:before="40" w:line="280"/>
      </w:pPr>
      <w:r>
        <w:rPr>
          <w:rFonts w:ascii="Calibri" w:cs="Calibri" w:eastAsia="Calibri" w:hAnsi="Calibri"/>
          <w:color w:val="2D332F"/>
          <w:sz w:val="22"/>
          <w:szCs w:val="22"/>
        </w:rPr>
        <w:t xml:space="preserve">Sélection de tous les adhérents RGB en statut ACTIF ou ACTIF_EN_RETARD</w:t>
      </w:r>
    </w:p>
    <w:p>
      <w:pPr>
        <w:pStyle w:val="ListParagraph"/>
        <w:numPr>
          <w:ilvl w:val="0"/>
          <w:numId w:val="3"/>
        </w:numPr>
        <w:spacing w:after="40" w:before="40" w:line="280"/>
      </w:pPr>
      <w:r>
        <w:rPr>
          <w:rFonts w:ascii="Calibri" w:cs="Calibri" w:eastAsia="Calibri" w:hAnsi="Calibri"/>
          <w:color w:val="2D332F"/>
          <w:sz w:val="22"/>
          <w:szCs w:val="22"/>
        </w:rPr>
        <w:t xml:space="preserve">Pour chacun : récupération du profil → obtention du montant à prélever (cmu_profil_cotisant.cotisation_mois)</w:t>
      </w:r>
    </w:p>
    <w:p>
      <w:pPr>
        <w:pStyle w:val="ListParagraph"/>
        <w:numPr>
          <w:ilvl w:val="0"/>
          <w:numId w:val="3"/>
        </w:numPr>
        <w:spacing w:after="40" w:before="40" w:line="280"/>
      </w:pPr>
      <w:r>
        <w:rPr>
          <w:rFonts w:ascii="Calibri" w:cs="Calibri" w:eastAsia="Calibri" w:hAnsi="Calibri"/>
          <w:color w:val="2D332F"/>
          <w:sz w:val="22"/>
          <w:szCs w:val="22"/>
        </w:rPr>
        <w:t xml:space="preserve">Appel de l'API de l'opérateur (MTN ou Orange) selon le numéro de cotisation désigné</w:t>
      </w:r>
    </w:p>
    <w:p>
      <w:pPr>
        <w:pStyle w:val="ListParagraph"/>
        <w:numPr>
          <w:ilvl w:val="0"/>
          <w:numId w:val="3"/>
        </w:numPr>
        <w:spacing w:after="40" w:before="40" w:line="280"/>
      </w:pPr>
      <w:r>
        <w:rPr>
          <w:rFonts w:ascii="Calibri" w:cs="Calibri" w:eastAsia="Calibri" w:hAnsi="Calibri"/>
          <w:color w:val="2D332F"/>
          <w:sz w:val="22"/>
          <w:szCs w:val="22"/>
        </w:rPr>
        <w:t xml:space="preserve">Enregistrement de la tentative dans cmu_cotisation_prelevement (SUCCES / ECHEC / EN_ATTENTE)</w:t>
      </w:r>
    </w:p>
    <w:p>
      <w:pPr>
        <w:pStyle w:val="ListParagraph"/>
        <w:numPr>
          <w:ilvl w:val="0"/>
          <w:numId w:val="3"/>
        </w:numPr>
        <w:spacing w:after="40" w:before="40" w:line="280"/>
      </w:pPr>
      <w:r>
        <w:rPr>
          <w:rFonts w:ascii="Calibri" w:cs="Calibri" w:eastAsia="Calibri" w:hAnsi="Calibri"/>
          <w:color w:val="2D332F"/>
          <w:sz w:val="22"/>
          <w:szCs w:val="22"/>
        </w:rPr>
        <w:t xml:space="preserve">Les tentatives EN_ATTENTE sont réinterrogées toutes les 6 heures pendant 72 heures maximum</w:t>
      </w:r>
    </w:p>
    <w:p>
      <w:pPr>
        <w:pStyle w:val="Heading3"/>
        <w:spacing w:after="100" w:before="240"/>
      </w:pPr>
      <w:r>
        <w:rPr>
          <w:rFonts w:ascii="Calibri" w:cs="Calibri" w:eastAsia="Calibri" w:hAnsi="Calibri"/>
          <w:b/>
          <w:bCs/>
          <w:color w:val="1A5D3A"/>
          <w:sz w:val="24"/>
          <w:szCs w:val="24"/>
        </w:rPr>
        <w:t xml:space="preserve">Traitement des résultats — le 5 du mois à 08h00</w:t>
      </w:r>
    </w:p>
    <w:p>
      <w:pPr>
        <w:pStyle w:val="ListParagraph"/>
        <w:numPr>
          <w:ilvl w:val="0"/>
          <w:numId w:val="3"/>
        </w:numPr>
        <w:spacing w:after="40" w:before="40" w:line="280"/>
      </w:pPr>
      <w:r>
        <w:rPr>
          <w:rFonts w:ascii="Calibri" w:cs="Calibri" w:eastAsia="Calibri" w:hAnsi="Calibri"/>
          <w:color w:val="2D332F"/>
          <w:sz w:val="22"/>
          <w:szCs w:val="22"/>
        </w:rPr>
        <w:t xml:space="preserve">Agrégation des résultats du mois par adhérent</w:t>
      </w:r>
    </w:p>
    <w:p>
      <w:pPr>
        <w:pStyle w:val="ListParagraph"/>
        <w:numPr>
          <w:ilvl w:val="0"/>
          <w:numId w:val="3"/>
        </w:numPr>
        <w:spacing w:after="40" w:before="40" w:line="280"/>
      </w:pPr>
      <w:r>
        <w:rPr>
          <w:rFonts w:ascii="Calibri" w:cs="Calibri" w:eastAsia="Calibri" w:hAnsi="Calibri"/>
          <w:color w:val="2D332F"/>
          <w:sz w:val="22"/>
          <w:szCs w:val="22"/>
        </w:rPr>
        <w:t xml:space="preserve">Mise à jour du statut selon les règles suivantes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500"/>
        <w:gridCol w:w="4060"/>
      </w:tblGrid>
      <w:tr>
        <w:trPr>
          <w:tblHeader/>
        </w:trPr>
        <w:tc>
          <w:tcPr>
            <w:tcW w:type="dxa" w:w="28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Nombre d'échecs consécutifs</w:t>
            </w:r>
          </w:p>
        </w:tc>
        <w:tc>
          <w:tcPr>
            <w:tcW w:type="dxa" w:w="25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Statut cible</w:t>
            </w:r>
          </w:p>
        </w:tc>
        <w:tc>
          <w:tcPr>
            <w:tcW w:type="dxa" w:w="40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Action complémentaire</w:t>
            </w:r>
          </w:p>
        </w:tc>
      </w:tr>
      <w:tr>
        <w:tc>
          <w:tcPr>
            <w:tcW w:type="dxa" w:w="2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0 (succès)</w:t>
            </w:r>
          </w:p>
        </w:tc>
        <w:tc>
          <w:tcPr>
            <w:tcW w:type="dxa" w:w="2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w:t>
            </w:r>
          </w:p>
        </w:tc>
        <w:tc>
          <w:tcPr>
            <w:tcW w:type="dxa" w:w="4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Réinitialisation du compteur d'échecs</w:t>
            </w:r>
          </w:p>
        </w:tc>
      </w:tr>
      <w:tr>
        <w:tc>
          <w:tcPr>
            <w:tcW w:type="dxa" w:w="2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1 (premier échec)</w:t>
            </w:r>
          </w:p>
        </w:tc>
        <w:tc>
          <w:tcPr>
            <w:tcW w:type="dxa" w:w="2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ACTIF_EN_RETARD</w:t>
            </w:r>
          </w:p>
        </w:tc>
        <w:tc>
          <w:tcPr>
            <w:tcW w:type="dxa" w:w="4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SMS de rappel au bénéficiaire, carte reste valide</w:t>
            </w:r>
          </w:p>
        </w:tc>
      </w:tr>
      <w:tr>
        <w:tc>
          <w:tcPr>
            <w:tcW w:type="dxa" w:w="2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2 ou plus</w:t>
            </w:r>
          </w:p>
        </w:tc>
        <w:tc>
          <w:tcPr>
            <w:tcW w:type="dxa" w:w="2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SUSPENDU</w:t>
            </w:r>
          </w:p>
        </w:tc>
        <w:tc>
          <w:tcPr>
            <w:tcW w:type="dxa" w:w="4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SMS + notification à l'établissement d'enrôlement</w:t>
            </w:r>
          </w:p>
        </w:tc>
      </w:tr>
    </w:tbl>
    <w:p>
      <w:pPr>
        <w:spacing w:after="0"/>
      </w:pPr>
      <w:r>
        <w:rPr>
          <w:sz w:val="8"/>
          <w:szCs w:val="8"/>
        </w:rPr>
        <w:t xml:space="preserve"/>
      </w:r>
    </w:p>
    <w:tbl>
      <w:tblPr>
        <w:tblW w:type="dxa" w:w="9360"/>
        <w:tblBorders>
          <w:top w:val="single" w:color="FDF6E3" w:sz="4"/>
          <w:left w:val="single" w:color="C9A227" w:sz="24"/>
          <w:bottom w:val="single" w:color="FDF6E3" w:sz="4"/>
          <w:right w:val="single" w:color="FDF6E3"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RÈGLE DE RÉACTIVATION</w:t>
            </w:r>
          </w:p>
          <w:p>
            <w:pPr>
              <w:spacing w:after="60" w:line="280"/>
              <w:jc w:val="both"/>
            </w:pPr>
            <w:r>
              <w:rPr>
                <w:rFonts w:ascii="Calibri" w:cs="Calibri" w:eastAsia="Calibri" w:hAnsi="Calibri"/>
                <w:color w:val="2D332F"/>
                <w:sz w:val="22"/>
                <w:szCs w:val="22"/>
              </w:rPr>
              <w:t xml:space="preserve">Dès qu'un prélèvement réussit, le statut repasse immédiatement à ACTIF et le compteur d'échecs est réinitialisé. Les mois non payés restent dus (ligne conservée dans cmu_cotisation_prelevement) mais n'empêchent pas la réactivation des droits. Ils peuvent faire l'objet d'un prélèvement de rattrapage lors de campagnes ministérielles.</w:t>
            </w:r>
          </w:p>
        </w:tc>
      </w:tr>
    </w:tbl>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4. </w:t>
      </w:r>
      <w:r>
        <w:rPr>
          <w:rFonts w:ascii="Calibri" w:cs="Calibri" w:eastAsia="Calibri" w:hAnsi="Calibri"/>
          <w:b/>
          <w:bCs/>
          <w:color w:val="0A3622"/>
          <w:sz w:val="40"/>
          <w:szCs w:val="40"/>
        </w:rPr>
        <w:t xml:space="preserve">Identifiant Unique de Santé (IUS)</w:t>
      </w:r>
    </w:p>
    <w:p>
      <w:pPr>
        <w:spacing w:after="40" w:before="200"/>
      </w:pPr>
      <w:r>
        <w:rPr>
          <w:rFonts w:ascii="Calibri" w:cs="Calibri" w:eastAsia="Calibri" w:hAnsi="Calibri"/>
          <w:b/>
          <w:bCs/>
          <w:color w:val="8B6508"/>
          <w:spacing w:val="40"/>
          <w:sz w:val="16"/>
          <w:szCs w:val="16"/>
        </w:rPr>
        <w:t xml:space="preserve">Format national à 15 chiffres</w:t>
      </w:r>
    </w:p>
    <w:p>
      <w:pPr>
        <w:spacing w:after="120" w:before="0" w:line="300"/>
        <w:jc w:val="both"/>
      </w:pPr>
      <w:r>
        <w:rPr>
          <w:rFonts w:ascii="Calibri" w:cs="Calibri" w:eastAsia="Calibri" w:hAnsi="Calibri"/>
          <w:color w:val="2D332F"/>
          <w:sz w:val="22"/>
          <w:szCs w:val="22"/>
        </w:rPr>
        <w:t xml:space="preserve">L'IUS est l'identifiant national de chaque bénéficiaire CMU. Il est unique, permanent, immuable, et s'applique à tous les régimes (RGB et RAM). Il accompagne le bénéficiaire à vie, indépendamment de sa trajectoire dans la plateforme (changement de régime, de profil, ou d'établissement).</w:t>
      </w:r>
    </w:p>
    <w:p>
      <w:pPr>
        <w:pStyle w:val="Heading2"/>
        <w:spacing w:after="120" w:before="360"/>
      </w:pPr>
      <w:r>
        <w:rPr>
          <w:rFonts w:ascii="Calibri" w:cs="Calibri" w:eastAsia="Calibri" w:hAnsi="Calibri"/>
          <w:b/>
          <w:bCs/>
          <w:color w:val="0F4A2E"/>
          <w:sz w:val="28"/>
          <w:szCs w:val="28"/>
        </w:rPr>
        <w:t xml:space="preserve">4.1  Structure du format</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   Format : EEEE AAAA SSSSSSS</w:t>
            </w:r>
          </w:p>
          <w:p>
            <w:pPr>
              <w:spacing w:after="20" w:before="0" w:line="260"/>
            </w:pPr>
            <w:r>
              <w:rPr>
                <w:rFonts w:ascii="Consolas" w:cs="Consolas" w:eastAsia="Consolas" w:hAnsi="Consolas"/>
                <w:color w:val="0A3622"/>
                <w:sz w:val="18"/>
                <w:szCs w:val="18"/>
              </w:rPr>
              <w:t xml:space="preserve">            │    │    │</w:t>
            </w:r>
          </w:p>
          <w:p>
            <w:pPr>
              <w:spacing w:after="20" w:before="0" w:line="260"/>
            </w:pPr>
            <w:r>
              <w:rPr>
                <w:rFonts w:ascii="Consolas" w:cs="Consolas" w:eastAsia="Consolas" w:hAnsi="Consolas"/>
                <w:color w:val="0A3622"/>
                <w:sz w:val="18"/>
                <w:szCs w:val="18"/>
              </w:rPr>
              <w:t xml:space="preserve">            │    │    └─── 7 chiffres séquentiels</w:t>
            </w:r>
          </w:p>
          <w:p>
            <w:pPr>
              <w:spacing w:after="20" w:before="0" w:line="260"/>
            </w:pPr>
            <w:r>
              <w:rPr>
                <w:rFonts w:ascii="Consolas" w:cs="Consolas" w:eastAsia="Consolas" w:hAnsi="Consolas"/>
                <w:color w:val="0A3622"/>
                <w:sz w:val="18"/>
                <w:szCs w:val="18"/>
              </w:rPr>
              <w:t xml:space="preserve">            │    │         (réinitialisés au 1er janvier</w:t>
            </w:r>
          </w:p>
          <w:p>
            <w:pPr>
              <w:spacing w:after="20" w:before="0" w:line="260"/>
            </w:pPr>
            <w:r>
              <w:rPr>
                <w:rFonts w:ascii="Consolas" w:cs="Consolas" w:eastAsia="Consolas" w:hAnsi="Consolas"/>
                <w:color w:val="0A3622"/>
                <w:sz w:val="18"/>
                <w:szCs w:val="18"/>
              </w:rPr>
              <w:t xml:space="preserve">            │    │          de chaque année par établissement)</w:t>
            </w:r>
          </w:p>
          <w:p>
            <w:pPr>
              <w:spacing w:after="20" w:before="0" w:line="260"/>
            </w:pPr>
            <w:r>
              <w:rPr>
                <w:rFonts w:ascii="Consolas" w:cs="Consolas" w:eastAsia="Consolas" w:hAnsi="Consolas"/>
                <w:color w:val="0A3622"/>
                <w:sz w:val="18"/>
                <w:szCs w:val="18"/>
              </w:rPr>
              <w:t xml:space="preserve">            │    └──────── 4 chiffres année (ex. 2026)</w:t>
            </w:r>
          </w:p>
          <w:p>
            <w:pPr>
              <w:spacing w:after="20" w:before="0" w:line="260"/>
            </w:pPr>
            <w:r>
              <w:rPr>
                <w:rFonts w:ascii="Consolas" w:cs="Consolas" w:eastAsia="Consolas" w:hAnsi="Consolas"/>
                <w:color w:val="0A3622"/>
                <w:sz w:val="18"/>
                <w:szCs w:val="18"/>
              </w:rPr>
              <w:t xml:space="preserve">            └───────────── 4 chiffres code établissement</w:t>
            </w:r>
          </w:p>
          <w:p>
            <w:pPr>
              <w:spacing w:after="20" w:before="0" w:line="260"/>
            </w:pPr>
            <w:r>
              <w:rPr>
                <w:rFonts w:ascii="Consolas" w:cs="Consolas" w:eastAsia="Consolas" w:hAnsi="Consolas"/>
                <w:color w:val="0A3622"/>
                <w:sz w:val="18"/>
                <w:szCs w:val="18"/>
              </w:rPr>
              <w:t xml:space="preserve">                           (référence nationale)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Exemple :</w:t>
            </w:r>
          </w:p>
          <w:p>
            <w:pPr>
              <w:spacing w:after="20" w:before="0" w:line="260"/>
            </w:pPr>
            <w:r>
              <w:rPr>
                <w:rFonts w:ascii="Consolas" w:cs="Consolas" w:eastAsia="Consolas" w:hAnsi="Consolas"/>
                <w:color w:val="0A3622"/>
                <w:sz w:val="18"/>
                <w:szCs w:val="18"/>
              </w:rPr>
              <w:t xml:space="preserve">      0001 | 2026 | 0000047  →  IUS = 000120260000047</w:t>
            </w:r>
          </w:p>
          <w:p>
            <w:pPr>
              <w:spacing w:after="20" w:before="0" w:line="260"/>
            </w:pPr>
            <w:r>
              <w:rPr>
                <w:rFonts w:ascii="Consolas" w:cs="Consolas" w:eastAsia="Consolas" w:hAnsi="Consolas"/>
                <w:color w:val="0A3622"/>
                <w:sz w:val="18"/>
                <w:szCs w:val="18"/>
              </w:rPr>
              <w:t xml:space="preserve">      CHU Donka, année 2026, 47ᵉ adhérent de cet établissement</w:t>
            </w:r>
          </w:p>
        </w:tc>
      </w:tr>
    </w:tbl>
    <w:p>
      <w:pPr>
        <w:spacing w:after="0"/>
      </w:pPr>
      <w:r>
        <w:rPr>
          <w:sz w:val="4"/>
          <w:szCs w:val="4"/>
        </w:rPr>
        <w:t xml:space="preserve"/>
      </w:r>
    </w:p>
    <w:p>
      <w:pPr>
        <w:pStyle w:val="Heading2"/>
        <w:spacing w:after="120" w:before="360"/>
      </w:pPr>
      <w:r>
        <w:rPr>
          <w:rFonts w:ascii="Calibri" w:cs="Calibri" w:eastAsia="Calibri" w:hAnsi="Calibri"/>
          <w:b/>
          <w:bCs/>
          <w:color w:val="0F4A2E"/>
          <w:sz w:val="28"/>
          <w:szCs w:val="28"/>
        </w:rPr>
        <w:t xml:space="preserve">4.2  Règles de génération</w:t>
      </w:r>
    </w:p>
    <w:p>
      <w:pPr>
        <w:pStyle w:val="ListParagraph"/>
        <w:numPr>
          <w:ilvl w:val="0"/>
          <w:numId w:val="2"/>
        </w:numPr>
        <w:spacing w:after="40" w:before="40" w:line="280"/>
      </w:pPr>
      <w:r>
        <w:rPr>
          <w:rFonts w:ascii="Calibri" w:cs="Calibri" w:eastAsia="Calibri" w:hAnsi="Calibri"/>
          <w:color w:val="2D332F"/>
          <w:sz w:val="22"/>
          <w:szCs w:val="22"/>
        </w:rPr>
        <w:t xml:space="preserve">L'IUS est attribué à la création du dossier (statut BROUILLON), avant même la soumission. Il accompagne le dossier dans tous les états ultérieurs y compris en cas de rejet et de reprise.</w:t>
      </w:r>
    </w:p>
    <w:p>
      <w:pPr>
        <w:pStyle w:val="ListParagraph"/>
        <w:numPr>
          <w:ilvl w:val="0"/>
          <w:numId w:val="2"/>
        </w:numPr>
        <w:spacing w:after="40" w:before="40" w:line="280"/>
      </w:pPr>
      <w:r>
        <w:rPr>
          <w:rFonts w:ascii="Calibri" w:cs="Calibri" w:eastAsia="Calibri" w:hAnsi="Calibri"/>
          <w:color w:val="2D332F"/>
          <w:sz w:val="22"/>
          <w:szCs w:val="22"/>
        </w:rPr>
        <w:t xml:space="preserve">L'IUS est immuable : il ne change jamais, quelles que soient les circonstances (transfert d'hôpital, changement de régime, changement de profil, mise à jour d'identité).</w:t>
      </w:r>
    </w:p>
    <w:p>
      <w:pPr>
        <w:pStyle w:val="ListParagraph"/>
        <w:numPr>
          <w:ilvl w:val="0"/>
          <w:numId w:val="2"/>
        </w:numPr>
        <w:spacing w:after="40" w:before="40" w:line="280"/>
      </w:pPr>
      <w:r>
        <w:rPr>
          <w:rFonts w:ascii="Calibri" w:cs="Calibri" w:eastAsia="Calibri" w:hAnsi="Calibri"/>
          <w:color w:val="2D332F"/>
          <w:sz w:val="22"/>
          <w:szCs w:val="22"/>
        </w:rPr>
        <w:t xml:space="preserve">La séquence SSSSSSS est gérée par la table cmu_ius_sequence qui stocke le dernier numéro attribué pour chaque couple (etablissement_id, année).</w:t>
      </w:r>
    </w:p>
    <w:p>
      <w:pPr>
        <w:pStyle w:val="ListParagraph"/>
        <w:numPr>
          <w:ilvl w:val="0"/>
          <w:numId w:val="2"/>
        </w:numPr>
        <w:spacing w:after="40" w:before="40" w:line="280"/>
      </w:pPr>
      <w:r>
        <w:rPr>
          <w:rFonts w:ascii="Calibri" w:cs="Calibri" w:eastAsia="Calibri" w:hAnsi="Calibri"/>
          <w:color w:val="2D332F"/>
          <w:sz w:val="22"/>
          <w:szCs w:val="22"/>
        </w:rPr>
        <w:t xml:space="preserve">La remise à zéro de la séquence s'effectue au 1er janvier de chaque année pour chaque établissement.</w:t>
      </w:r>
    </w:p>
    <w:p>
      <w:pPr>
        <w:pStyle w:val="ListParagraph"/>
        <w:numPr>
          <w:ilvl w:val="0"/>
          <w:numId w:val="2"/>
        </w:numPr>
        <w:spacing w:after="40" w:before="40" w:line="280"/>
      </w:pPr>
      <w:r>
        <w:rPr>
          <w:rFonts w:ascii="Calibri" w:cs="Calibri" w:eastAsia="Calibri" w:hAnsi="Calibri"/>
          <w:color w:val="2D332F"/>
          <w:sz w:val="22"/>
          <w:szCs w:val="22"/>
        </w:rPr>
        <w:t xml:space="preserve">L'IUS est stocké en VARCHAR(15) et non en BIGINT pour préserver les zéros de tête, indispensables à sa lisibilité et à sa validation.</w:t>
      </w:r>
    </w:p>
    <w:p>
      <w:pPr>
        <w:pStyle w:val="Heading2"/>
        <w:spacing w:after="120" w:before="360"/>
      </w:pPr>
      <w:r>
        <w:rPr>
          <w:rFonts w:ascii="Calibri" w:cs="Calibri" w:eastAsia="Calibri" w:hAnsi="Calibri"/>
          <w:b/>
          <w:bCs/>
          <w:color w:val="0F4A2E"/>
          <w:sz w:val="28"/>
          <w:szCs w:val="28"/>
        </w:rPr>
        <w:t xml:space="preserve">4.3  Unicité et génération atomique</w:t>
      </w:r>
    </w:p>
    <w:p>
      <w:pPr>
        <w:spacing w:after="120" w:before="0" w:line="300"/>
        <w:jc w:val="both"/>
      </w:pPr>
      <w:r>
        <w:rPr>
          <w:rFonts w:ascii="Calibri" w:cs="Calibri" w:eastAsia="Calibri" w:hAnsi="Calibri"/>
          <w:color w:val="2D332F"/>
          <w:sz w:val="22"/>
          <w:szCs w:val="22"/>
        </w:rPr>
        <w:t xml:space="preserve">L'attribution d'un nouvel IUS doit être atomique pour éviter toute collision en cas de saisie simultanée dans un même établissement. La procédure est implémentée en transaction PostgreSQL avec verrou exclusif sur la ligne de cmu_ius_sequence :</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BEGIN;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Verrouillage de la séquence de l'établissement pour l'année</w:t>
            </w:r>
          </w:p>
          <w:p>
            <w:pPr>
              <w:spacing w:after="20" w:before="0" w:line="260"/>
            </w:pPr>
            <w:r>
              <w:rPr>
                <w:rFonts w:ascii="Consolas" w:cs="Consolas" w:eastAsia="Consolas" w:hAnsi="Consolas"/>
                <w:color w:val="0A3622"/>
                <w:sz w:val="18"/>
                <w:szCs w:val="18"/>
              </w:rPr>
              <w:t xml:space="preserve">SELECT numero_courant FROM cmu_ius_sequence</w:t>
            </w:r>
          </w:p>
          <w:p>
            <w:pPr>
              <w:spacing w:after="20" w:before="0" w:line="260"/>
            </w:pPr>
            <w:r>
              <w:rPr>
                <w:rFonts w:ascii="Consolas" w:cs="Consolas" w:eastAsia="Consolas" w:hAnsi="Consolas"/>
                <w:color w:val="0A3622"/>
                <w:sz w:val="18"/>
                <w:szCs w:val="18"/>
              </w:rPr>
              <w:t xml:space="preserve">  WHERE etablissement_id = :id_etab</w:t>
            </w:r>
          </w:p>
          <w:p>
            <w:pPr>
              <w:spacing w:after="20" w:before="0" w:line="260"/>
            </w:pPr>
            <w:r>
              <w:rPr>
                <w:rFonts w:ascii="Consolas" w:cs="Consolas" w:eastAsia="Consolas" w:hAnsi="Consolas"/>
                <w:color w:val="0A3622"/>
                <w:sz w:val="18"/>
                <w:szCs w:val="18"/>
              </w:rPr>
              <w:t xml:space="preserve">    AND annee = :annee</w:t>
            </w:r>
          </w:p>
          <w:p>
            <w:pPr>
              <w:spacing w:after="20" w:before="0" w:line="260"/>
            </w:pPr>
            <w:r>
              <w:rPr>
                <w:rFonts w:ascii="Consolas" w:cs="Consolas" w:eastAsia="Consolas" w:hAnsi="Consolas"/>
                <w:color w:val="0A3622"/>
                <w:sz w:val="18"/>
                <w:szCs w:val="18"/>
              </w:rPr>
              <w:t xml:space="preserve">  FOR UPDATE;</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Incrémentation et récupération du nouveau numéro</w:t>
            </w:r>
          </w:p>
          <w:p>
            <w:pPr>
              <w:spacing w:after="20" w:before="0" w:line="260"/>
            </w:pPr>
            <w:r>
              <w:rPr>
                <w:rFonts w:ascii="Consolas" w:cs="Consolas" w:eastAsia="Consolas" w:hAnsi="Consolas"/>
                <w:color w:val="0A3622"/>
                <w:sz w:val="18"/>
                <w:szCs w:val="18"/>
              </w:rPr>
              <w:t xml:space="preserve">UPDATE cmu_ius_sequence</w:t>
            </w:r>
          </w:p>
          <w:p>
            <w:pPr>
              <w:spacing w:after="20" w:before="0" w:line="260"/>
            </w:pPr>
            <w:r>
              <w:rPr>
                <w:rFonts w:ascii="Consolas" w:cs="Consolas" w:eastAsia="Consolas" w:hAnsi="Consolas"/>
                <w:color w:val="0A3622"/>
                <w:sz w:val="18"/>
                <w:szCs w:val="18"/>
              </w:rPr>
              <w:t xml:space="preserve">  SET numero_courant = numero_courant + 1</w:t>
            </w:r>
          </w:p>
          <w:p>
            <w:pPr>
              <w:spacing w:after="20" w:before="0" w:line="260"/>
            </w:pPr>
            <w:r>
              <w:rPr>
                <w:rFonts w:ascii="Consolas" w:cs="Consolas" w:eastAsia="Consolas" w:hAnsi="Consolas"/>
                <w:color w:val="0A3622"/>
                <w:sz w:val="18"/>
                <w:szCs w:val="18"/>
              </w:rPr>
              <w:t xml:space="preserve">  WHERE etablissement_id = :id_etab</w:t>
            </w:r>
          </w:p>
          <w:p>
            <w:pPr>
              <w:spacing w:after="20" w:before="0" w:line="260"/>
            </w:pPr>
            <w:r>
              <w:rPr>
                <w:rFonts w:ascii="Consolas" w:cs="Consolas" w:eastAsia="Consolas" w:hAnsi="Consolas"/>
                <w:color w:val="0A3622"/>
                <w:sz w:val="18"/>
                <w:szCs w:val="18"/>
              </w:rPr>
              <w:t xml:space="preserve">    AND annee = :annee</w:t>
            </w:r>
          </w:p>
          <w:p>
            <w:pPr>
              <w:spacing w:after="20" w:before="0" w:line="260"/>
            </w:pPr>
            <w:r>
              <w:rPr>
                <w:rFonts w:ascii="Consolas" w:cs="Consolas" w:eastAsia="Consolas" w:hAnsi="Consolas"/>
                <w:color w:val="0A3622"/>
                <w:sz w:val="18"/>
                <w:szCs w:val="18"/>
              </w:rPr>
              <w:t xml:space="preserve">  RETURNING numero_courant;</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Construction de l'IUS final</w:t>
            </w:r>
          </w:p>
          <w:p>
            <w:pPr>
              <w:spacing w:after="20" w:before="0" w:line="260"/>
            </w:pPr>
            <w:r>
              <w:rPr>
                <w:rFonts w:ascii="Consolas" w:cs="Consolas" w:eastAsia="Consolas" w:hAnsi="Consolas"/>
                <w:color w:val="0A3622"/>
                <w:sz w:val="18"/>
                <w:szCs w:val="18"/>
              </w:rPr>
              <w:t xml:space="preserve">-- IUS = LPAD(code_etab, 4) || annee || LPAD(numero_courant, 7)</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COMMIT;</w:t>
            </w:r>
          </w:p>
        </w:tc>
      </w:tr>
    </w:tbl>
    <w:p>
      <w:pPr>
        <w:spacing w:after="0"/>
      </w:pPr>
      <w:r>
        <w:rPr>
          <w:sz w:val="4"/>
          <w:szCs w:val="4"/>
        </w:rPr>
        <w:t xml:space="preserve"/>
      </w:r>
    </w:p>
    <w:p>
      <w:pPr>
        <w:pStyle w:val="Heading2"/>
        <w:spacing w:after="120" w:before="360"/>
      </w:pPr>
      <w:r>
        <w:rPr>
          <w:rFonts w:ascii="Calibri" w:cs="Calibri" w:eastAsia="Calibri" w:hAnsi="Calibri"/>
          <w:b/>
          <w:bCs/>
          <w:color w:val="0F4A2E"/>
          <w:sz w:val="28"/>
          <w:szCs w:val="28"/>
        </w:rPr>
        <w:t xml:space="preserve">4.4  Encodage dans le QR code de la carte</w:t>
      </w:r>
    </w:p>
    <w:p>
      <w:pPr>
        <w:spacing w:after="120" w:before="0" w:line="300"/>
        <w:jc w:val="both"/>
      </w:pPr>
      <w:r>
        <w:rPr>
          <w:rFonts w:ascii="Calibri" w:cs="Calibri" w:eastAsia="Calibri" w:hAnsi="Calibri"/>
          <w:color w:val="2D332F"/>
          <w:sz w:val="22"/>
          <w:szCs w:val="22"/>
        </w:rPr>
        <w:t xml:space="preserve">Le QR code imprimé sur la carte encode l'IUS ainsi qu'une signature HMAC-SHA256 permettant une vérification hors ligne de l'authenticité de la carte. La clé de signature est gérée par le MSHP et n'est jamais transmise aux établissements.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Contenu QR (format JSON compact)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w:t>
            </w:r>
          </w:p>
          <w:p>
            <w:pPr>
              <w:spacing w:after="20" w:before="0" w:line="260"/>
            </w:pPr>
            <w:r>
              <w:rPr>
                <w:rFonts w:ascii="Consolas" w:cs="Consolas" w:eastAsia="Consolas" w:hAnsi="Consolas"/>
                <w:color w:val="0A3622"/>
                <w:sz w:val="18"/>
                <w:szCs w:val="18"/>
              </w:rPr>
              <w:t xml:space="preserve">  "ius": "000120260000047",</w:t>
            </w:r>
          </w:p>
          <w:p>
            <w:pPr>
              <w:spacing w:after="20" w:before="0" w:line="260"/>
            </w:pPr>
            <w:r>
              <w:rPr>
                <w:rFonts w:ascii="Consolas" w:cs="Consolas" w:eastAsia="Consolas" w:hAnsi="Consolas"/>
                <w:color w:val="0A3622"/>
                <w:sz w:val="18"/>
                <w:szCs w:val="18"/>
              </w:rPr>
              <w:t xml:space="preserve">  "v": 1,                     // version du schéma</w:t>
            </w:r>
          </w:p>
          <w:p>
            <w:pPr>
              <w:spacing w:after="20" w:before="0" w:line="260"/>
            </w:pPr>
            <w:r>
              <w:rPr>
                <w:rFonts w:ascii="Consolas" w:cs="Consolas" w:eastAsia="Consolas" w:hAnsi="Consolas"/>
                <w:color w:val="0A3622"/>
                <w:sz w:val="18"/>
                <w:szCs w:val="18"/>
              </w:rPr>
              <w:t xml:space="preserve">  "e": "2027-04-30",        // date d'expiration</w:t>
            </w:r>
          </w:p>
          <w:p>
            <w:pPr>
              <w:spacing w:after="20" w:before="0" w:line="260"/>
            </w:pPr>
            <w:r>
              <w:rPr>
                <w:rFonts w:ascii="Consolas" w:cs="Consolas" w:eastAsia="Consolas" w:hAnsi="Consolas"/>
                <w:color w:val="0A3622"/>
                <w:sz w:val="18"/>
                <w:szCs w:val="18"/>
              </w:rPr>
              <w:t xml:space="preserve">  "r": "RGB",                // régime (RGB ou RAM)</w:t>
            </w:r>
          </w:p>
          <w:p>
            <w:pPr>
              <w:spacing w:after="20" w:before="0" w:line="260"/>
            </w:pPr>
            <w:r>
              <w:rPr>
                <w:rFonts w:ascii="Consolas" w:cs="Consolas" w:eastAsia="Consolas" w:hAnsi="Consolas"/>
                <w:color w:val="0A3622"/>
                <w:sz w:val="18"/>
                <w:szCs w:val="18"/>
              </w:rPr>
              <w:t xml:space="preserve">  "s": "d4a01728bf…"         // signature HMAC-SHA256</w:t>
            </w:r>
          </w:p>
          <w:p>
            <w:pPr>
              <w:spacing w:after="20" w:before="0" w:line="260"/>
            </w:pPr>
            <w:r>
              <w:rPr>
                <w:rFonts w:ascii="Consolas" w:cs="Consolas" w:eastAsia="Consolas" w:hAnsi="Consolas"/>
                <w:color w:val="0A3622"/>
                <w:sz w:val="18"/>
                <w:szCs w:val="18"/>
              </w:rPr>
              <w:t xml:space="preserve">}</w:t>
            </w:r>
          </w:p>
        </w:tc>
      </w:tr>
    </w:tbl>
    <w:p>
      <w:pPr>
        <w:spacing w:after="0"/>
      </w:pPr>
      <w:r>
        <w:rPr>
          <w:sz w:val="4"/>
          <w:szCs w:val="4"/>
        </w:rPr>
        <w:t xml:space="preserve"/>
      </w:r>
    </w:p>
    <w:tbl>
      <w:tblPr>
        <w:tblW w:type="dxa" w:w="9360"/>
        <w:tblBorders>
          <w:top w:val="single" w:color="FDF6E3" w:sz="4"/>
          <w:left w:val="single" w:color="C9A227" w:sz="24"/>
          <w:bottom w:val="single" w:color="FDF6E3" w:sz="4"/>
          <w:right w:val="single" w:color="FDF6E3"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PORTÉE DE LA VÉRIFICATION OFFLINE</w:t>
            </w:r>
          </w:p>
          <w:p>
            <w:pPr>
              <w:spacing w:after="60" w:line="280"/>
              <w:jc w:val="both"/>
            </w:pPr>
            <w:r>
              <w:rPr>
                <w:rFonts w:ascii="Calibri" w:cs="Calibri" w:eastAsia="Calibri" w:hAnsi="Calibri"/>
                <w:color w:val="2D332F"/>
                <w:sz w:val="22"/>
                <w:szCs w:val="22"/>
              </w:rPr>
              <w:t xml:space="preserve">La vérification hors ligne permet de confirmer que la carte a été émise par la plateforme officielle et qu'elle n'a pas été contrefaite. Elle ne garantit pas que les droits du porteur sont à jour — seule une interrogation de la plateforme permet de vérifier le statut en temps réel (ACTIF, SUSPENDU, etc.).</w:t>
            </w:r>
          </w:p>
        </w:tc>
      </w:tr>
    </w:tbl>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5. </w:t>
      </w:r>
      <w:r>
        <w:rPr>
          <w:rFonts w:ascii="Calibri" w:cs="Calibri" w:eastAsia="Calibri" w:hAnsi="Calibri"/>
          <w:b/>
          <w:bCs/>
          <w:color w:val="0A3622"/>
          <w:sz w:val="40"/>
          <w:szCs w:val="40"/>
        </w:rPr>
        <w:t xml:space="preserve">Prise en charge et facturation</w:t>
      </w:r>
    </w:p>
    <w:p>
      <w:pPr>
        <w:spacing w:after="40" w:before="200"/>
      </w:pPr>
      <w:r>
        <w:rPr>
          <w:rFonts w:ascii="Calibri" w:cs="Calibri" w:eastAsia="Calibri" w:hAnsi="Calibri"/>
          <w:b/>
          <w:bCs/>
          <w:color w:val="8B6508"/>
          <w:spacing w:val="40"/>
          <w:sz w:val="16"/>
          <w:szCs w:val="16"/>
        </w:rPr>
        <w:t xml:space="preserve">Règles de couverture et calcul de la part CMU</w:t>
      </w:r>
    </w:p>
    <w:p>
      <w:pPr>
        <w:pStyle w:val="Heading2"/>
        <w:spacing w:after="120" w:before="360"/>
      </w:pPr>
      <w:r>
        <w:rPr>
          <w:rFonts w:ascii="Calibri" w:cs="Calibri" w:eastAsia="Calibri" w:hAnsi="Calibri"/>
          <w:b/>
          <w:bCs/>
          <w:color w:val="0F4A2E"/>
          <w:sz w:val="28"/>
          <w:szCs w:val="28"/>
        </w:rPr>
        <w:t xml:space="preserve">5.1  Vérification d'éligibilité au point de soin</w:t>
      </w:r>
    </w:p>
    <w:p>
      <w:pPr>
        <w:spacing w:after="120" w:before="0" w:line="300"/>
        <w:jc w:val="both"/>
      </w:pPr>
      <w:r>
        <w:rPr>
          <w:rFonts w:ascii="Calibri" w:cs="Calibri" w:eastAsia="Calibri" w:hAnsi="Calibri"/>
          <w:color w:val="2D332F"/>
          <w:sz w:val="22"/>
          <w:szCs w:val="22"/>
        </w:rPr>
        <w:t xml:space="preserve">Avant tout acte CMU, l'agent d'enrôlement vérifie l'éligibilité du bénéficiaire par saisie de l'IUS (ou scan du QR code). La plateforme renvoie en temps réel :</w:t>
      </w:r>
    </w:p>
    <w:p>
      <w:pPr>
        <w:pStyle w:val="ListParagraph"/>
        <w:numPr>
          <w:ilvl w:val="0"/>
          <w:numId w:val="2"/>
        </w:numPr>
        <w:spacing w:after="40" w:before="40" w:line="280"/>
      </w:pPr>
      <w:r>
        <w:rPr>
          <w:rFonts w:ascii="Calibri" w:cs="Calibri" w:eastAsia="Calibri" w:hAnsi="Calibri"/>
          <w:color w:val="2D332F"/>
          <w:sz w:val="22"/>
          <w:szCs w:val="22"/>
        </w:rPr>
        <w:t xml:space="preserve">Le statut actuel (ACTIF, ACTIF_EN_RETARD, SUSPENDU, RAM_ACTIF, etc.)</w:t>
      </w:r>
    </w:p>
    <w:p>
      <w:pPr>
        <w:pStyle w:val="ListParagraph"/>
        <w:numPr>
          <w:ilvl w:val="0"/>
          <w:numId w:val="2"/>
        </w:numPr>
        <w:spacing w:after="40" w:before="40" w:line="280"/>
      </w:pPr>
      <w:r>
        <w:rPr>
          <w:rFonts w:ascii="Calibri" w:cs="Calibri" w:eastAsia="Calibri" w:hAnsi="Calibri"/>
          <w:color w:val="2D332F"/>
          <w:sz w:val="22"/>
          <w:szCs w:val="22"/>
        </w:rPr>
        <w:t xml:space="preserve">Le régime (RGB ou RAM)</w:t>
      </w:r>
    </w:p>
    <w:p>
      <w:pPr>
        <w:pStyle w:val="ListParagraph"/>
        <w:numPr>
          <w:ilvl w:val="0"/>
          <w:numId w:val="2"/>
        </w:numPr>
        <w:spacing w:after="40" w:before="40" w:line="280"/>
      </w:pPr>
      <w:r>
        <w:rPr>
          <w:rFonts w:ascii="Calibri" w:cs="Calibri" w:eastAsia="Calibri" w:hAnsi="Calibri"/>
          <w:color w:val="2D332F"/>
          <w:sz w:val="22"/>
          <w:szCs w:val="22"/>
        </w:rPr>
        <w:t xml:space="preserve">Le taux de prise en charge applicable (80 % ou 100 %)</w:t>
      </w:r>
    </w:p>
    <w:p>
      <w:pPr>
        <w:pStyle w:val="ListParagraph"/>
        <w:numPr>
          <w:ilvl w:val="0"/>
          <w:numId w:val="2"/>
        </w:numPr>
        <w:spacing w:after="40" w:before="40" w:line="280"/>
      </w:pPr>
      <w:r>
        <w:rPr>
          <w:rFonts w:ascii="Calibri" w:cs="Calibri" w:eastAsia="Calibri" w:hAnsi="Calibri"/>
          <w:color w:val="2D332F"/>
          <w:sz w:val="22"/>
          <w:szCs w:val="22"/>
        </w:rPr>
        <w:t xml:space="preserve">La liste des ayants droit et leurs statuts individuels</w:t>
      </w:r>
    </w:p>
    <w:p>
      <w:pPr>
        <w:pStyle w:val="ListParagraph"/>
        <w:numPr>
          <w:ilvl w:val="0"/>
          <w:numId w:val="2"/>
        </w:numPr>
        <w:spacing w:after="40" w:before="40" w:line="280"/>
      </w:pPr>
      <w:r>
        <w:rPr>
          <w:rFonts w:ascii="Calibri" w:cs="Calibri" w:eastAsia="Calibri" w:hAnsi="Calibri"/>
          <w:color w:val="2D332F"/>
          <w:sz w:val="22"/>
          <w:szCs w:val="22"/>
        </w:rPr>
        <w:t xml:space="preserve">Les alertes éventuelles (carte expirée, réévaluation RAM requise, etc.)</w:t>
      </w:r>
    </w:p>
    <w:p>
      <w:pPr>
        <w:pStyle w:val="Heading2"/>
        <w:spacing w:after="120" w:before="360"/>
      </w:pPr>
      <w:r>
        <w:rPr>
          <w:rFonts w:ascii="Calibri" w:cs="Calibri" w:eastAsia="Calibri" w:hAnsi="Calibri"/>
          <w:b/>
          <w:bCs/>
          <w:color w:val="0F4A2E"/>
          <w:sz w:val="28"/>
          <w:szCs w:val="28"/>
        </w:rPr>
        <w:t xml:space="preserve">5.2  Règles de calcul de la prise en charge</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SI statut IN (ACTIF, ACTIF_EN_RETARD) ET régime = RGB :</w:t>
            </w:r>
          </w:p>
          <w:p>
            <w:pPr>
              <w:spacing w:after="20" w:before="0" w:line="260"/>
            </w:pPr>
            <w:r>
              <w:rPr>
                <w:rFonts w:ascii="Consolas" w:cs="Consolas" w:eastAsia="Consolas" w:hAnsi="Consolas"/>
                <w:color w:val="0A3622"/>
                <w:sz w:val="18"/>
                <w:szCs w:val="18"/>
              </w:rPr>
              <w:t xml:space="preserve">    part_cmu     = total_actes × 0.80</w:t>
            </w:r>
          </w:p>
          <w:p>
            <w:pPr>
              <w:spacing w:after="20" w:before="0" w:line="260"/>
            </w:pPr>
            <w:r>
              <w:rPr>
                <w:rFonts w:ascii="Consolas" w:cs="Consolas" w:eastAsia="Consolas" w:hAnsi="Consolas"/>
                <w:color w:val="0A3622"/>
                <w:sz w:val="18"/>
                <w:szCs w:val="18"/>
              </w:rPr>
              <w:t xml:space="preserve">    part_patient = total_actes × 0.20</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SI statut = RAM_ACTIF ET régime = RAM :</w:t>
            </w:r>
          </w:p>
          <w:p>
            <w:pPr>
              <w:spacing w:after="20" w:before="0" w:line="260"/>
            </w:pPr>
            <w:r>
              <w:rPr>
                <w:rFonts w:ascii="Consolas" w:cs="Consolas" w:eastAsia="Consolas" w:hAnsi="Consolas"/>
                <w:color w:val="0A3622"/>
                <w:sz w:val="18"/>
                <w:szCs w:val="18"/>
              </w:rPr>
              <w:t xml:space="preserve">    part_cmu     = total_actes × 1.00</w:t>
            </w:r>
          </w:p>
          <w:p>
            <w:pPr>
              <w:spacing w:after="20" w:before="0" w:line="260"/>
            </w:pPr>
            <w:r>
              <w:rPr>
                <w:rFonts w:ascii="Consolas" w:cs="Consolas" w:eastAsia="Consolas" w:hAnsi="Consolas"/>
                <w:color w:val="0A3622"/>
                <w:sz w:val="18"/>
                <w:szCs w:val="18"/>
              </w:rPr>
              <w:t xml:space="preserve">    part_patient = 0</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SI statut IN (SUSPENDU, BROUILLON, SOUMIS, REJETE, CLOTURE,</w:t>
            </w:r>
          </w:p>
          <w:p>
            <w:pPr>
              <w:spacing w:after="20" w:before="0" w:line="260"/>
            </w:pPr>
            <w:r>
              <w:rPr>
                <w:rFonts w:ascii="Consolas" w:cs="Consolas" w:eastAsia="Consolas" w:hAnsi="Consolas"/>
                <w:color w:val="0A3622"/>
                <w:sz w:val="18"/>
                <w:szCs w:val="18"/>
              </w:rPr>
              <w:t xml:space="preserve">              BROUILLON_RAM, ENQUETE_EN_COURS, RAM_REJETE) :</w:t>
            </w:r>
          </w:p>
          <w:p>
            <w:pPr>
              <w:spacing w:after="20" w:before="0" w:line="260"/>
            </w:pPr>
            <w:r>
              <w:rPr>
                <w:rFonts w:ascii="Consolas" w:cs="Consolas" w:eastAsia="Consolas" w:hAnsi="Consolas"/>
                <w:color w:val="0A3622"/>
                <w:sz w:val="18"/>
                <w:szCs w:val="18"/>
              </w:rPr>
              <w:t xml:space="preserve">    part_cmu     = 0</w:t>
            </w:r>
          </w:p>
          <w:p>
            <w:pPr>
              <w:spacing w:after="20" w:before="0" w:line="260"/>
            </w:pPr>
            <w:r>
              <w:rPr>
                <w:rFonts w:ascii="Consolas" w:cs="Consolas" w:eastAsia="Consolas" w:hAnsi="Consolas"/>
                <w:color w:val="0A3622"/>
                <w:sz w:val="18"/>
                <w:szCs w:val="18"/>
              </w:rPr>
              <w:t xml:space="preserve">    part_patient = total_actes</w:t>
            </w:r>
          </w:p>
          <w:p>
            <w:pPr>
              <w:spacing w:after="20" w:before="0" w:line="260"/>
            </w:pPr>
            <w:r>
              <w:rPr>
                <w:rFonts w:ascii="Consolas" w:cs="Consolas" w:eastAsia="Consolas" w:hAnsi="Consolas"/>
                <w:color w:val="0A3622"/>
                <w:sz w:val="18"/>
                <w:szCs w:val="18"/>
              </w:rPr>
              <w:t xml:space="preserve">    → le patient est hors CMU, facturation standard SIH</w:t>
            </w:r>
          </w:p>
        </w:tc>
      </w:tr>
    </w:tbl>
    <w:p>
      <w:pPr>
        <w:spacing w:after="0"/>
      </w:pPr>
      <w:r>
        <w:rPr>
          <w:sz w:val="4"/>
          <w:szCs w:val="4"/>
        </w:rPr>
        <w:t xml:space="preserve"/>
      </w:r>
    </w:p>
    <w:tbl>
      <w:tblPr>
        <w:tblW w:type="dxa" w:w="9360"/>
        <w:tblBorders>
          <w:top w:val="single" w:color="FDF6E3" w:sz="4"/>
          <w:left w:val="single" w:color="C9A227" w:sz="24"/>
          <w:bottom w:val="single" w:color="FDF6E3" w:sz="4"/>
          <w:right w:val="single" w:color="FDF6E3"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PAS DE PLAFOND</w:t>
            </w:r>
          </w:p>
          <w:p>
            <w:pPr>
              <w:spacing w:after="60" w:line="280"/>
              <w:jc w:val="both"/>
            </w:pPr>
            <w:r>
              <w:rPr>
                <w:rFonts w:ascii="Calibri" w:cs="Calibri" w:eastAsia="Calibri" w:hAnsi="Calibri"/>
                <w:color w:val="2D332F"/>
                <w:sz w:val="22"/>
                <w:szCs w:val="22"/>
              </w:rPr>
              <w:t xml:space="preserve">Contrairement à la modélisation initiale, la CMU ne comporte plus de plafond de dépenses annuel. Le calcul est strictement appliqué acte par acte, selon le taux du régime. Cette règle s'applique aux deux régimes (RGB et RAM).</w:t>
            </w:r>
          </w:p>
        </w:tc>
      </w:tr>
    </w:tbl>
    <w:p>
      <w:pPr>
        <w:pStyle w:val="Heading2"/>
        <w:spacing w:after="120" w:before="360"/>
      </w:pPr>
      <w:r>
        <w:rPr>
          <w:rFonts w:ascii="Calibri" w:cs="Calibri" w:eastAsia="Calibri" w:hAnsi="Calibri"/>
          <w:b/>
          <w:bCs/>
          <w:color w:val="0F4A2E"/>
          <w:sz w:val="28"/>
          <w:szCs w:val="28"/>
        </w:rPr>
        <w:t xml:space="preserve">5.3  Cas particulier des urgences</w:t>
      </w:r>
    </w:p>
    <w:p>
      <w:pPr>
        <w:spacing w:after="120" w:before="0" w:line="300"/>
        <w:jc w:val="both"/>
      </w:pPr>
      <w:r>
        <w:rPr>
          <w:rFonts w:ascii="Calibri" w:cs="Calibri" w:eastAsia="Calibri" w:hAnsi="Calibri"/>
          <w:color w:val="2D332F"/>
          <w:sz w:val="22"/>
          <w:szCs w:val="22"/>
        </w:rPr>
        <w:t xml:space="preserve">En cas d'urgence vitale, les soins sont toujours prodigués. La règle d'éligibilité CMU s'applique uniquement pour le financement :</w:t>
      </w:r>
    </w:p>
    <w:p>
      <w:pPr>
        <w:pStyle w:val="ListParagraph"/>
        <w:numPr>
          <w:ilvl w:val="0"/>
          <w:numId w:val="2"/>
        </w:numPr>
        <w:spacing w:after="40" w:before="40" w:line="280"/>
      </w:pPr>
      <w:r>
        <w:rPr>
          <w:rFonts w:ascii="Calibri" w:cs="Calibri" w:eastAsia="Calibri" w:hAnsi="Calibri"/>
          <w:color w:val="2D332F"/>
          <w:sz w:val="22"/>
          <w:szCs w:val="22"/>
        </w:rPr>
        <w:t xml:space="preserve">Bénéficiaire ACTIF ou RAM_ACTIF : la prise en charge CMU s'applique normalement.</w:t>
      </w:r>
    </w:p>
    <w:p>
      <w:pPr>
        <w:pStyle w:val="ListParagraph"/>
        <w:numPr>
          <w:ilvl w:val="0"/>
          <w:numId w:val="2"/>
        </w:numPr>
        <w:spacing w:after="40" w:before="40" w:line="280"/>
      </w:pPr>
      <w:r>
        <w:rPr>
          <w:rFonts w:ascii="Calibri" w:cs="Calibri" w:eastAsia="Calibri" w:hAnsi="Calibri"/>
          <w:color w:val="2D332F"/>
          <w:sz w:val="22"/>
          <w:szCs w:val="22"/>
        </w:rPr>
        <w:t xml:space="preserve">Bénéficiaire SUSPENDU, non enrôlé, ou sans dossier valide : les soins sont prodigués en urgence, mais la facturation est assumée hors CMU. Aucune prise en charge rétroactive n'est possible après régularisation.</w:t>
      </w:r>
    </w:p>
    <w:p>
      <w:pPr>
        <w:pStyle w:val="Heading2"/>
        <w:spacing w:after="120" w:before="360"/>
      </w:pPr>
      <w:r>
        <w:rPr>
          <w:rFonts w:ascii="Calibri" w:cs="Calibri" w:eastAsia="Calibri" w:hAnsi="Calibri"/>
          <w:b/>
          <w:bCs/>
          <w:color w:val="0F4A2E"/>
          <w:sz w:val="28"/>
          <w:szCs w:val="28"/>
        </w:rPr>
        <w:t xml:space="preserve">5.4  Nomenclature nationale des actes</w:t>
      </w:r>
    </w:p>
    <w:p>
      <w:pPr>
        <w:spacing w:after="120" w:before="0" w:line="300"/>
        <w:jc w:val="both"/>
      </w:pPr>
      <w:r>
        <w:rPr>
          <w:rFonts w:ascii="Calibri" w:cs="Calibri" w:eastAsia="Calibri" w:hAnsi="Calibri"/>
          <w:color w:val="2D332F"/>
          <w:sz w:val="22"/>
          <w:szCs w:val="22"/>
        </w:rPr>
        <w:t xml:space="preserve">La nomenclature nationale recense l'intégralité des actes médicaux couverts par la CMU. Elle est organisée en 6 grandes catégories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2200"/>
        <w:gridCol w:w="6160"/>
      </w:tblGrid>
      <w:tr>
        <w:trPr>
          <w:tblHeader/>
        </w:trPr>
        <w:tc>
          <w:tcPr>
            <w:tcW w:type="dxa" w:w="1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Code</w:t>
            </w:r>
          </w:p>
        </w:tc>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Catégorie</w:t>
            </w:r>
          </w:p>
        </w:tc>
        <w:tc>
          <w:tcPr>
            <w:tcW w:type="dxa" w:w="61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1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w:t>
            </w:r>
          </w:p>
        </w:tc>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Consultation</w:t>
            </w:r>
          </w:p>
        </w:tc>
        <w:tc>
          <w:tcPr>
            <w:tcW w:type="dxa" w:w="61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Consultations médicales généralistes et spécialisées</w:t>
            </w:r>
          </w:p>
        </w:tc>
      </w:tr>
      <w:tr>
        <w:tc>
          <w:tcPr>
            <w:tcW w:type="dxa" w:w="1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BIO</w:t>
            </w:r>
          </w:p>
        </w:tc>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Biologie</w:t>
            </w:r>
          </w:p>
        </w:tc>
        <w:tc>
          <w:tcPr>
            <w:tcW w:type="dxa" w:w="61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Analyses médicales et examens biologiques</w:t>
            </w:r>
          </w:p>
        </w:tc>
      </w:tr>
      <w:tr>
        <w:tc>
          <w:tcPr>
            <w:tcW w:type="dxa" w:w="1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IMG</w:t>
            </w:r>
          </w:p>
        </w:tc>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Imagerie</w:t>
            </w:r>
          </w:p>
        </w:tc>
        <w:tc>
          <w:tcPr>
            <w:tcW w:type="dxa" w:w="61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Radiographie, échographie, scanner, IRM</w:t>
            </w:r>
          </w:p>
        </w:tc>
      </w:tr>
      <w:tr>
        <w:tc>
          <w:tcPr>
            <w:tcW w:type="dxa" w:w="1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EXP</w:t>
            </w:r>
          </w:p>
        </w:tc>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Exploration</w:t>
            </w:r>
          </w:p>
        </w:tc>
        <w:tc>
          <w:tcPr>
            <w:tcW w:type="dxa" w:w="61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Explorations fonctionnelles (ECG, EEG, etc.)</w:t>
            </w:r>
          </w:p>
        </w:tc>
      </w:tr>
      <w:tr>
        <w:tc>
          <w:tcPr>
            <w:tcW w:type="dxa" w:w="1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SOI</w:t>
            </w:r>
          </w:p>
        </w:tc>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Soins infirmiers</w:t>
            </w:r>
          </w:p>
        </w:tc>
        <w:tc>
          <w:tcPr>
            <w:tcW w:type="dxa" w:w="61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Actes de soins infirmiers, pansements, injections</w:t>
            </w:r>
          </w:p>
        </w:tc>
      </w:tr>
      <w:tr>
        <w:tc>
          <w:tcPr>
            <w:tcW w:type="dxa" w:w="1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PHA</w:t>
            </w:r>
          </w:p>
        </w:tc>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Pharmacie</w:t>
            </w:r>
          </w:p>
        </w:tc>
        <w:tc>
          <w:tcPr>
            <w:tcW w:type="dxa" w:w="61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Médicaments inscrits au formulaire CMU</w:t>
            </w:r>
          </w:p>
        </w:tc>
      </w:tr>
    </w:tbl>
    <w:p>
      <w:pPr>
        <w:spacing w:after="0"/>
      </w:pPr>
      <w:r>
        <w:rPr>
          <w:sz w:val="8"/>
          <w:szCs w:val="8"/>
        </w:rPr>
        <w:t xml:space="preserve"/>
      </w:r>
    </w:p>
    <w:p>
      <w:pPr>
        <w:spacing w:after="120" w:before="0" w:line="300"/>
        <w:jc w:val="both"/>
      </w:pPr>
      <w:r>
        <w:rPr>
          <w:rFonts w:ascii="Calibri" w:cs="Calibri" w:eastAsia="Calibri" w:hAnsi="Calibri"/>
          <w:color w:val="2D332F"/>
          <w:sz w:val="22"/>
          <w:szCs w:val="22"/>
        </w:rPr>
        <w:t xml:space="preserve">La grille tarifaire associe à chaque acte un tarif différencié selon le type d'établissement prestataire. Un acte peut ne pas être disponible à certains niveaux (par exemple, l'échographie cardiaque est réservée aux CHU et hôpitaux régionaux).</w:t>
      </w:r>
    </w:p>
    <w:p>
      <w:pPr>
        <w:pStyle w:val="Heading2"/>
        <w:spacing w:after="120" w:before="360"/>
      </w:pPr>
      <w:r>
        <w:rPr>
          <w:rFonts w:ascii="Calibri" w:cs="Calibri" w:eastAsia="Calibri" w:hAnsi="Calibri"/>
          <w:b/>
          <w:bCs/>
          <w:color w:val="0F4A2E"/>
          <w:sz w:val="28"/>
          <w:szCs w:val="28"/>
        </w:rPr>
        <w:t xml:space="preserve">5.5  Versionnement de la nomenclature</w:t>
      </w:r>
    </w:p>
    <w:p>
      <w:pPr>
        <w:spacing w:after="120" w:before="0" w:line="300"/>
        <w:jc w:val="both"/>
      </w:pPr>
      <w:r>
        <w:rPr>
          <w:rFonts w:ascii="Calibri" w:cs="Calibri" w:eastAsia="Calibri" w:hAnsi="Calibri"/>
          <w:color w:val="2D332F"/>
          <w:sz w:val="22"/>
          <w:szCs w:val="22"/>
        </w:rPr>
        <w:t xml:space="preserve">La nomenclature est versionnée : chaque évolution donne lieu à une nouvelle version, préparée en brouillon, puis publiée par arrêté ministériel à une date effective. Les prises en charge en cours continuent d'utiliser la version en vigueur au jour de l'acte.</w:t>
      </w:r>
    </w:p>
    <w:p>
      <w:pPr>
        <w:pStyle w:val="Heading3"/>
        <w:spacing w:after="100" w:before="240"/>
      </w:pPr>
      <w:r>
        <w:rPr>
          <w:rFonts w:ascii="Calibri" w:cs="Calibri" w:eastAsia="Calibri" w:hAnsi="Calibri"/>
          <w:b/>
          <w:bCs/>
          <w:color w:val="1A5D3A"/>
          <w:sz w:val="24"/>
          <w:szCs w:val="24"/>
        </w:rPr>
        <w:t xml:space="preserve">Processus de publication d'une nouvelle version</w:t>
      </w:r>
    </w:p>
    <w:p>
      <w:pPr>
        <w:pStyle w:val="ListParagraph"/>
        <w:numPr>
          <w:ilvl w:val="0"/>
          <w:numId w:val="3"/>
        </w:numPr>
        <w:spacing w:after="40" w:before="40" w:line="280"/>
      </w:pPr>
      <w:r>
        <w:rPr>
          <w:rFonts w:ascii="Calibri" w:cs="Calibri" w:eastAsia="Calibri" w:hAnsi="Calibri"/>
          <w:color w:val="2D332F"/>
          <w:sz w:val="22"/>
          <w:szCs w:val="22"/>
        </w:rPr>
        <w:t xml:space="preserve">Préparation d'un brouillon par l'administrateur national CMU (ajouts, modifications de libellés, modifications tarifaires)</w:t>
      </w:r>
    </w:p>
    <w:p>
      <w:pPr>
        <w:pStyle w:val="ListParagraph"/>
        <w:numPr>
          <w:ilvl w:val="0"/>
          <w:numId w:val="3"/>
        </w:numPr>
        <w:spacing w:after="40" w:before="40" w:line="280"/>
      </w:pPr>
      <w:r>
        <w:rPr>
          <w:rFonts w:ascii="Calibri" w:cs="Calibri" w:eastAsia="Calibri" w:hAnsi="Calibri"/>
          <w:color w:val="2D332F"/>
          <w:sz w:val="22"/>
          <w:szCs w:val="22"/>
        </w:rPr>
        <w:t xml:space="preserve">Revue et validation interne du brouillon (option directeur technique e-MSanté)</w:t>
      </w:r>
    </w:p>
    <w:p>
      <w:pPr>
        <w:pStyle w:val="ListParagraph"/>
        <w:numPr>
          <w:ilvl w:val="0"/>
          <w:numId w:val="3"/>
        </w:numPr>
        <w:spacing w:after="40" w:before="40" w:line="280"/>
      </w:pPr>
      <w:r>
        <w:rPr>
          <w:rFonts w:ascii="Calibri" w:cs="Calibri" w:eastAsia="Calibri" w:hAnsi="Calibri"/>
          <w:color w:val="2D332F"/>
          <w:sz w:val="22"/>
          <w:szCs w:val="22"/>
        </w:rPr>
        <w:t xml:space="preserve">Soumission à la tutelle ministérielle (circuit de signature hors plateforme)</w:t>
      </w:r>
    </w:p>
    <w:p>
      <w:pPr>
        <w:pStyle w:val="ListParagraph"/>
        <w:numPr>
          <w:ilvl w:val="0"/>
          <w:numId w:val="3"/>
        </w:numPr>
        <w:spacing w:after="40" w:before="40" w:line="280"/>
      </w:pPr>
      <w:r>
        <w:rPr>
          <w:rFonts w:ascii="Calibri" w:cs="Calibri" w:eastAsia="Calibri" w:hAnsi="Calibri"/>
          <w:color w:val="2D332F"/>
          <w:sz w:val="22"/>
          <w:szCs w:val="22"/>
        </w:rPr>
        <w:t xml:space="preserve">Publication de l'arrêté ministériel avec date d'effet</w:t>
      </w:r>
    </w:p>
    <w:p>
      <w:pPr>
        <w:pStyle w:val="ListParagraph"/>
        <w:numPr>
          <w:ilvl w:val="0"/>
          <w:numId w:val="3"/>
        </w:numPr>
        <w:spacing w:after="40" w:before="40" w:line="280"/>
      </w:pPr>
      <w:r>
        <w:rPr>
          <w:rFonts w:ascii="Calibri" w:cs="Calibri" w:eastAsia="Calibri" w:hAnsi="Calibri"/>
          <w:color w:val="2D332F"/>
          <w:sz w:val="22"/>
          <w:szCs w:val="22"/>
        </w:rPr>
        <w:t xml:space="preserve">Bascule automatique de la version en vigueur à la date d'effet (cron nocturne)</w:t>
      </w:r>
    </w:p>
    <w:p>
      <w:pPr>
        <w:pStyle w:val="ListParagraph"/>
        <w:numPr>
          <w:ilvl w:val="0"/>
          <w:numId w:val="3"/>
        </w:numPr>
        <w:spacing w:after="40" w:before="40" w:line="280"/>
      </w:pPr>
      <w:r>
        <w:rPr>
          <w:rFonts w:ascii="Calibri" w:cs="Calibri" w:eastAsia="Calibri" w:hAnsi="Calibri"/>
          <w:color w:val="2D332F"/>
          <w:sz w:val="22"/>
          <w:szCs w:val="22"/>
        </w:rPr>
        <w:t xml:space="preserve">Les PEC saisies après minuit de la date d'effet utilisent la nouvelle grille</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6. </w:t>
      </w:r>
      <w:r>
        <w:rPr>
          <w:rFonts w:ascii="Calibri" w:cs="Calibri" w:eastAsia="Calibri" w:hAnsi="Calibri"/>
          <w:b/>
          <w:bCs/>
          <w:color w:val="0A3622"/>
          <w:sz w:val="40"/>
          <w:szCs w:val="40"/>
        </w:rPr>
        <w:t xml:space="preserve">Workflow de remboursement</w:t>
      </w:r>
    </w:p>
    <w:p>
      <w:pPr>
        <w:spacing w:after="40" w:before="200"/>
      </w:pPr>
      <w:r>
        <w:rPr>
          <w:rFonts w:ascii="Calibri" w:cs="Calibri" w:eastAsia="Calibri" w:hAnsi="Calibri"/>
          <w:b/>
          <w:bCs/>
          <w:color w:val="8B6508"/>
          <w:spacing w:val="40"/>
          <w:sz w:val="16"/>
          <w:szCs w:val="16"/>
        </w:rPr>
        <w:t xml:space="preserve">Du poste de soins à la Caisse nationale</w:t>
      </w:r>
    </w:p>
    <w:p>
      <w:pPr>
        <w:spacing w:after="120" w:before="0" w:line="300"/>
        <w:jc w:val="both"/>
      </w:pPr>
      <w:r>
        <w:rPr>
          <w:rFonts w:ascii="Calibri" w:cs="Calibri" w:eastAsia="Calibri" w:hAnsi="Calibri"/>
          <w:color w:val="2D332F"/>
          <w:sz w:val="22"/>
          <w:szCs w:val="22"/>
        </w:rPr>
        <w:t xml:space="preserve">Le remboursement des établissements est le flux financier majeur de la plateforme. Il est entièrement dématérialisé et automatisé dans sa consolidation, tout en conservant des points de contrôle humains pour garantir la fiabilité des demandes de paiement.</w:t>
      </w:r>
    </w:p>
    <w:p>
      <w:pPr>
        <w:pStyle w:val="Heading2"/>
        <w:spacing w:after="120" w:before="360"/>
      </w:pPr>
      <w:r>
        <w:rPr>
          <w:rFonts w:ascii="Calibri" w:cs="Calibri" w:eastAsia="Calibri" w:hAnsi="Calibri"/>
          <w:b/>
          <w:bCs/>
          <w:color w:val="0F4A2E"/>
          <w:sz w:val="28"/>
          <w:szCs w:val="28"/>
        </w:rPr>
        <w:t xml:space="preserve">6.1  Vue d'ensemble du cycle</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  Mois M                                    Mois M+1</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  PEC au fil de l'eau   │              │  Clôture + instruction │</w:t>
            </w:r>
          </w:p>
          <w:p>
            <w:pPr>
              <w:spacing w:after="20" w:before="0" w:line="260"/>
            </w:pPr>
            <w:r>
              <w:rPr>
                <w:rFonts w:ascii="Consolas" w:cs="Consolas" w:eastAsia="Consolas" w:hAnsi="Consolas"/>
                <w:color w:val="0A3622"/>
                <w:sz w:val="18"/>
                <w:szCs w:val="18"/>
              </w:rPr>
              <w:t xml:space="preserve">  └────────────────────────┘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Jour 1 à 30 du mois M                    Jour 1 à 5 du mois M+1</w:t>
            </w:r>
          </w:p>
          <w:p>
            <w:pPr>
              <w:spacing w:after="20" w:before="0" w:line="260"/>
            </w:pPr>
            <w:r>
              <w:rPr>
                <w:rFonts w:ascii="Consolas" w:cs="Consolas" w:eastAsia="Consolas" w:hAnsi="Consolas"/>
                <w:color w:val="0A3622"/>
                <w:sz w:val="18"/>
                <w:szCs w:val="18"/>
              </w:rPr>
              <w:t xml:space="preserve">   • Agent d'enrôlement                    • Consolidation automatique</w:t>
            </w:r>
          </w:p>
          <w:p>
            <w:pPr>
              <w:spacing w:after="20" w:before="0" w:line="260"/>
            </w:pPr>
            <w:r>
              <w:rPr>
                <w:rFonts w:ascii="Consolas" w:cs="Consolas" w:eastAsia="Consolas" w:hAnsi="Consolas"/>
                <w:color w:val="0A3622"/>
                <w:sz w:val="18"/>
                <w:szCs w:val="18"/>
              </w:rPr>
              <w:t xml:space="preserve">     déclenche PEC                            des PEC du mois M</w:t>
            </w:r>
          </w:p>
          <w:p>
            <w:pPr>
              <w:spacing w:after="20" w:before="0" w:line="260"/>
            </w:pPr>
            <w:r>
              <w:rPr>
                <w:rFonts w:ascii="Consolas" w:cs="Consolas" w:eastAsia="Consolas" w:hAnsi="Consolas"/>
                <w:color w:val="0A3622"/>
                <w:sz w:val="18"/>
                <w:szCs w:val="18"/>
              </w:rPr>
              <w:t xml:space="preserve">   • Actes ajoutés à la PEC                 • Agent facturation vérifie,</w:t>
            </w:r>
          </w:p>
          <w:p>
            <w:pPr>
              <w:spacing w:after="20" w:before="0" w:line="260"/>
            </w:pPr>
            <w:r>
              <w:rPr>
                <w:rFonts w:ascii="Consolas" w:cs="Consolas" w:eastAsia="Consolas" w:hAnsi="Consolas"/>
                <w:color w:val="0A3622"/>
                <w:sz w:val="18"/>
                <w:szCs w:val="18"/>
              </w:rPr>
              <w:t xml:space="preserve">   • Montants CMU et patient                  signale anomalies</w:t>
            </w:r>
          </w:p>
          <w:p>
            <w:pPr>
              <w:spacing w:after="20" w:before="0" w:line="260"/>
            </w:pPr>
            <w:r>
              <w:rPr>
                <w:rFonts w:ascii="Consolas" w:cs="Consolas" w:eastAsia="Consolas" w:hAnsi="Consolas"/>
                <w:color w:val="0A3622"/>
                <w:sz w:val="18"/>
                <w:szCs w:val="18"/>
              </w:rPr>
              <w:t xml:space="preserve">     calculés automatiquement               • Directeur valide (optionnel)</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Jour 6 à 10 du mois M+1                  Jour 10 à 15 du mois M+1</w:t>
            </w:r>
          </w:p>
          <w:p>
            <w:pPr>
              <w:spacing w:after="20" w:before="0" w:line="260"/>
            </w:pPr>
            <w:r>
              <w:rPr>
                <w:rFonts w:ascii="Consolas" w:cs="Consolas" w:eastAsia="Consolas" w:hAnsi="Consolas"/>
                <w:color w:val="0A3622"/>
                <w:sz w:val="18"/>
                <w:szCs w:val="18"/>
              </w:rPr>
              <w:t xml:space="preserve">   • Soumission à la Caisse                 • Instruction Caisse nationale</w:t>
            </w:r>
          </w:p>
          <w:p>
            <w:pPr>
              <w:spacing w:after="20" w:before="0" w:line="260"/>
            </w:pPr>
            <w:r>
              <w:rPr>
                <w:rFonts w:ascii="Consolas" w:cs="Consolas" w:eastAsia="Consolas" w:hAnsi="Consolas"/>
                <w:color w:val="0A3622"/>
                <w:sz w:val="18"/>
                <w:szCs w:val="18"/>
              </w:rPr>
              <w:t xml:space="preserve">     nationale CMU                             • Retour pour complément</w:t>
            </w:r>
          </w:p>
          <w:p>
            <w:pPr>
              <w:spacing w:after="20" w:before="0" w:line="260"/>
            </w:pPr>
            <w:r>
              <w:rPr>
                <w:rFonts w:ascii="Consolas" w:cs="Consolas" w:eastAsia="Consolas" w:hAnsi="Consolas"/>
                <w:color w:val="0A3622"/>
                <w:sz w:val="18"/>
                <w:szCs w:val="18"/>
              </w:rPr>
              <w:t xml:space="preserve">   • Dossier verrouillé                         OU approbation</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Jour 15 à 25 du mois M+1                 Jour 25 à 30 du mois M+1</w:t>
            </w:r>
          </w:p>
          <w:p>
            <w:pPr>
              <w:spacing w:after="20" w:before="0" w:line="260"/>
            </w:pPr>
            <w:r>
              <w:rPr>
                <w:rFonts w:ascii="Consolas" w:cs="Consolas" w:eastAsia="Consolas" w:hAnsi="Consolas"/>
                <w:color w:val="0A3622"/>
                <w:sz w:val="18"/>
                <w:szCs w:val="18"/>
              </w:rPr>
              <w:t xml:space="preserve">   • Paiement ordonnancé                    • Virement bancaire effectif</w:t>
            </w:r>
          </w:p>
          <w:p>
            <w:pPr>
              <w:spacing w:after="20" w:before="0" w:line="260"/>
            </w:pPr>
            <w:r>
              <w:rPr>
                <w:rFonts w:ascii="Consolas" w:cs="Consolas" w:eastAsia="Consolas" w:hAnsi="Consolas"/>
                <w:color w:val="0A3622"/>
                <w:sz w:val="18"/>
                <w:szCs w:val="18"/>
              </w:rPr>
              <w:t xml:space="preserve">   • Avis de paiement                        • Avis de crédit établissement</w:t>
            </w:r>
          </w:p>
        </w:tc>
      </w:tr>
    </w:tbl>
    <w:p>
      <w:pPr>
        <w:spacing w:after="0"/>
      </w:pPr>
      <w:r>
        <w:rPr>
          <w:sz w:val="4"/>
          <w:szCs w:val="4"/>
        </w:rPr>
        <w:t xml:space="preserve"/>
      </w:r>
    </w:p>
    <w:p>
      <w:pPr>
        <w:pStyle w:val="Heading2"/>
        <w:spacing w:after="120" w:before="360"/>
      </w:pPr>
      <w:r>
        <w:rPr>
          <w:rFonts w:ascii="Calibri" w:cs="Calibri" w:eastAsia="Calibri" w:hAnsi="Calibri"/>
          <w:b/>
          <w:bCs/>
          <w:color w:val="0F4A2E"/>
          <w:sz w:val="28"/>
          <w:szCs w:val="28"/>
        </w:rPr>
        <w:t xml:space="preserve">6.2  Phase 1 — Prise en charge au fil de l'eau</w:t>
      </w:r>
    </w:p>
    <w:p>
      <w:pPr>
        <w:spacing w:after="120" w:before="0" w:line="300"/>
        <w:jc w:val="both"/>
      </w:pPr>
      <w:r>
        <w:rPr>
          <w:rFonts w:ascii="Calibri" w:cs="Calibri" w:eastAsia="Calibri" w:hAnsi="Calibri"/>
          <w:color w:val="2D332F"/>
          <w:sz w:val="22"/>
          <w:szCs w:val="22"/>
        </w:rPr>
        <w:t xml:space="preserve">Pendant le mois M, les agents d'enrôlement enregistrent chaque PEC directement dans la table cmu_prise_en_charge. Chaque PEC contient les métadonnées (date, bénéficiaire, établissement, agent, régime applicable) et une liste détaillée d'actes dans la table enfant cmu_prise_en_charge_acte.</w:t>
      </w:r>
    </w:p>
    <w:p>
      <w:pPr>
        <w:pStyle w:val="ListParagraph"/>
        <w:numPr>
          <w:ilvl w:val="0"/>
          <w:numId w:val="2"/>
        </w:numPr>
        <w:spacing w:after="40" w:before="40" w:line="280"/>
      </w:pPr>
      <w:r>
        <w:rPr>
          <w:rFonts w:ascii="Calibri" w:cs="Calibri" w:eastAsia="Calibri" w:hAnsi="Calibri"/>
          <w:color w:val="2D332F"/>
          <w:sz w:val="22"/>
          <w:szCs w:val="22"/>
        </w:rPr>
        <w:t xml:space="preserve">Les montants sont calculés automatiquement à partir du tarif national au jour de l'acte.</w:t>
      </w:r>
    </w:p>
    <w:p>
      <w:pPr>
        <w:pStyle w:val="ListParagraph"/>
        <w:numPr>
          <w:ilvl w:val="0"/>
          <w:numId w:val="2"/>
        </w:numPr>
        <w:spacing w:after="40" w:before="40" w:line="280"/>
      </w:pPr>
      <w:r>
        <w:rPr>
          <w:rFonts w:ascii="Calibri" w:cs="Calibri" w:eastAsia="Calibri" w:hAnsi="Calibri"/>
          <w:color w:val="2D332F"/>
          <w:sz w:val="22"/>
          <w:szCs w:val="22"/>
        </w:rPr>
        <w:t xml:space="preserve">La part CMU et la part patient sont stockées séparément pour chaque acte.</w:t>
      </w:r>
    </w:p>
    <w:p>
      <w:pPr>
        <w:pStyle w:val="ListParagraph"/>
        <w:numPr>
          <w:ilvl w:val="0"/>
          <w:numId w:val="2"/>
        </w:numPr>
        <w:spacing w:after="40" w:before="40" w:line="280"/>
      </w:pPr>
      <w:r>
        <w:rPr>
          <w:rFonts w:ascii="Calibri" w:cs="Calibri" w:eastAsia="Calibri" w:hAnsi="Calibri"/>
          <w:color w:val="2D332F"/>
          <w:sz w:val="22"/>
          <w:szCs w:val="22"/>
        </w:rPr>
        <w:t xml:space="preserve">L'agent encaisse le ticket modérateur (RGB) ou aucun montant (RAM) auprès du patient.</w:t>
      </w:r>
    </w:p>
    <w:p>
      <w:pPr>
        <w:pStyle w:val="ListParagraph"/>
        <w:numPr>
          <w:ilvl w:val="0"/>
          <w:numId w:val="2"/>
        </w:numPr>
        <w:spacing w:after="40" w:before="40" w:line="280"/>
      </w:pPr>
      <w:r>
        <w:rPr>
          <w:rFonts w:ascii="Calibri" w:cs="Calibri" w:eastAsia="Calibri" w:hAnsi="Calibri"/>
          <w:color w:val="2D332F"/>
          <w:sz w:val="22"/>
          <w:szCs w:val="22"/>
        </w:rPr>
        <w:t xml:space="preserve">Aucune action particulière n'est requise de l'agent facturation pendant cette phase.</w:t>
      </w:r>
    </w:p>
    <w:p>
      <w:pPr>
        <w:pStyle w:val="Heading2"/>
        <w:spacing w:after="120" w:before="360"/>
      </w:pPr>
      <w:r>
        <w:rPr>
          <w:rFonts w:ascii="Calibri" w:cs="Calibri" w:eastAsia="Calibri" w:hAnsi="Calibri"/>
          <w:b/>
          <w:bCs/>
          <w:color w:val="0F4A2E"/>
          <w:sz w:val="28"/>
          <w:szCs w:val="28"/>
        </w:rPr>
        <w:t xml:space="preserve">6.3  Phase 2 — Clôture mensuelle et consolidation</w:t>
      </w:r>
    </w:p>
    <w:p>
      <w:pPr>
        <w:spacing w:after="120" w:before="0" w:line="300"/>
        <w:jc w:val="both"/>
      </w:pPr>
      <w:r>
        <w:rPr>
          <w:rFonts w:ascii="Calibri" w:cs="Calibri" w:eastAsia="Calibri" w:hAnsi="Calibri"/>
          <w:color w:val="2D332F"/>
          <w:sz w:val="22"/>
          <w:szCs w:val="22"/>
        </w:rPr>
        <w:t xml:space="preserve">Le 1er du mois suivant à 02h00, une tâche planifiée consolide automatiquement toutes les PEC du mois écoulé pour chaque établissement :</w:t>
      </w:r>
    </w:p>
    <w:p>
      <w:pPr>
        <w:pStyle w:val="ListParagraph"/>
        <w:numPr>
          <w:ilvl w:val="0"/>
          <w:numId w:val="3"/>
        </w:numPr>
        <w:spacing w:after="40" w:before="40" w:line="280"/>
      </w:pPr>
      <w:r>
        <w:rPr>
          <w:rFonts w:ascii="Calibri" w:cs="Calibri" w:eastAsia="Calibri" w:hAnsi="Calibri"/>
          <w:color w:val="2D332F"/>
          <w:sz w:val="22"/>
          <w:szCs w:val="22"/>
        </w:rPr>
        <w:t xml:space="preserve">Sélection de toutes les PEC en statut VALIDEE du mois M, par établissement.</w:t>
      </w:r>
    </w:p>
    <w:p>
      <w:pPr>
        <w:pStyle w:val="ListParagraph"/>
        <w:numPr>
          <w:ilvl w:val="0"/>
          <w:numId w:val="3"/>
        </w:numPr>
        <w:spacing w:after="40" w:before="40" w:line="280"/>
      </w:pPr>
      <w:r>
        <w:rPr>
          <w:rFonts w:ascii="Calibri" w:cs="Calibri" w:eastAsia="Calibri" w:hAnsi="Calibri"/>
          <w:color w:val="2D332F"/>
          <w:sz w:val="22"/>
          <w:szCs w:val="22"/>
        </w:rPr>
        <w:t xml:space="preserve">Calcul des totaux : nombre de PEC, montant total CMU, ticket modérateur collecté, montant à rembourser.</w:t>
      </w:r>
    </w:p>
    <w:p>
      <w:pPr>
        <w:pStyle w:val="ListParagraph"/>
        <w:numPr>
          <w:ilvl w:val="0"/>
          <w:numId w:val="3"/>
        </w:numPr>
        <w:spacing w:after="40" w:before="40" w:line="280"/>
      </w:pPr>
      <w:r>
        <w:rPr>
          <w:rFonts w:ascii="Calibri" w:cs="Calibri" w:eastAsia="Calibri" w:hAnsi="Calibri"/>
          <w:color w:val="2D332F"/>
          <w:sz w:val="22"/>
          <w:szCs w:val="22"/>
        </w:rPr>
        <w:t xml:space="preserve">Création d'un dossier de remboursement en statut EN_COURS_DE_FINALISATION.</w:t>
      </w:r>
    </w:p>
    <w:p>
      <w:pPr>
        <w:pStyle w:val="ListParagraph"/>
        <w:numPr>
          <w:ilvl w:val="0"/>
          <w:numId w:val="3"/>
        </w:numPr>
        <w:spacing w:after="40" w:before="40" w:line="280"/>
      </w:pPr>
      <w:r>
        <w:rPr>
          <w:rFonts w:ascii="Calibri" w:cs="Calibri" w:eastAsia="Calibri" w:hAnsi="Calibri"/>
          <w:color w:val="2D332F"/>
          <w:sz w:val="22"/>
          <w:szCs w:val="22"/>
        </w:rPr>
        <w:t xml:space="preserve">Notification au profil facturation de l'établissement que le dossier est disponible.</w:t>
      </w:r>
    </w:p>
    <w:p>
      <w:pPr>
        <w:pStyle w:val="Heading2"/>
        <w:spacing w:after="120" w:before="360"/>
      </w:pPr>
      <w:r>
        <w:rPr>
          <w:rFonts w:ascii="Calibri" w:cs="Calibri" w:eastAsia="Calibri" w:hAnsi="Calibri"/>
          <w:b/>
          <w:bCs/>
          <w:color w:val="0F4A2E"/>
          <w:sz w:val="28"/>
          <w:szCs w:val="28"/>
        </w:rPr>
        <w:t xml:space="preserve">6.4  Phase 3 — Vérification et soumission</w:t>
      </w:r>
    </w:p>
    <w:p>
      <w:pPr>
        <w:spacing w:after="120" w:before="0" w:line="300"/>
        <w:jc w:val="both"/>
      </w:pPr>
      <w:r>
        <w:rPr>
          <w:rFonts w:ascii="Calibri" w:cs="Calibri" w:eastAsia="Calibri" w:hAnsi="Calibri"/>
          <w:color w:val="2D332F"/>
          <w:sz w:val="22"/>
          <w:szCs w:val="22"/>
        </w:rPr>
        <w:t xml:space="preserve">L'agent de facturation dispose de 5 jours (par défaut) pour vérifier le dossier consolidé :</w:t>
      </w:r>
    </w:p>
    <w:p>
      <w:pPr>
        <w:pStyle w:val="ListParagraph"/>
        <w:numPr>
          <w:ilvl w:val="0"/>
          <w:numId w:val="2"/>
        </w:numPr>
        <w:spacing w:after="40" w:before="40" w:line="280"/>
      </w:pPr>
      <w:r>
        <w:rPr>
          <w:rFonts w:ascii="Calibri" w:cs="Calibri" w:eastAsia="Calibri" w:hAnsi="Calibri"/>
          <w:color w:val="2D332F"/>
          <w:sz w:val="22"/>
          <w:szCs w:val="22"/>
        </w:rPr>
        <w:t xml:space="preserve">Consultation des PEC agrégées par régime, par catégorie d'actes, par service.</w:t>
      </w:r>
    </w:p>
    <w:p>
      <w:pPr>
        <w:pStyle w:val="ListParagraph"/>
        <w:numPr>
          <w:ilvl w:val="0"/>
          <w:numId w:val="2"/>
        </w:numPr>
        <w:spacing w:after="40" w:before="40" w:line="280"/>
      </w:pPr>
      <w:r>
        <w:rPr>
          <w:rFonts w:ascii="Calibri" w:cs="Calibri" w:eastAsia="Calibri" w:hAnsi="Calibri"/>
          <w:color w:val="2D332F"/>
          <w:sz w:val="22"/>
          <w:szCs w:val="22"/>
        </w:rPr>
        <w:t xml:space="preserve">Possibilité de signaler une anomalie sur une PEC (acte non effectué, erreur de saisie).</w:t>
      </w:r>
    </w:p>
    <w:p>
      <w:pPr>
        <w:pStyle w:val="ListParagraph"/>
        <w:numPr>
          <w:ilvl w:val="0"/>
          <w:numId w:val="2"/>
        </w:numPr>
        <w:spacing w:after="40" w:before="40" w:line="280"/>
      </w:pPr>
      <w:r>
        <w:rPr>
          <w:rFonts w:ascii="Calibri" w:cs="Calibri" w:eastAsia="Calibri" w:hAnsi="Calibri"/>
          <w:color w:val="2D332F"/>
          <w:sz w:val="22"/>
          <w:szCs w:val="22"/>
        </w:rPr>
        <w:t xml:space="preserve">Ajout éventuel de pièces justificatives complémentaires (rapports médicaux, factures laboratoire).</w:t>
      </w:r>
    </w:p>
    <w:p>
      <w:pPr>
        <w:pStyle w:val="ListParagraph"/>
        <w:numPr>
          <w:ilvl w:val="0"/>
          <w:numId w:val="2"/>
        </w:numPr>
        <w:spacing w:after="40" w:before="40" w:line="280"/>
      </w:pPr>
      <w:r>
        <w:rPr>
          <w:rFonts w:ascii="Calibri" w:cs="Calibri" w:eastAsia="Calibri" w:hAnsi="Calibri"/>
          <w:color w:val="2D332F"/>
          <w:sz w:val="22"/>
          <w:szCs w:val="22"/>
        </w:rPr>
        <w:t xml:space="preserve">Le directeur, s'il est habilité dans l'établissement, valide en interne avant soumission.</w:t>
      </w:r>
    </w:p>
    <w:tbl>
      <w:tblPr>
        <w:tblW w:type="dxa" w:w="9360"/>
        <w:tblBorders>
          <w:top w:val="single" w:color="FDF6E3" w:sz="4"/>
          <w:left w:val="single" w:color="C9A227" w:sz="24"/>
          <w:bottom w:val="single" w:color="FDF6E3" w:sz="4"/>
          <w:right w:val="single" w:color="FDF6E3"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VERROUILLAGE À LA SOUMISSION</w:t>
            </w:r>
          </w:p>
          <w:p>
            <w:pPr>
              <w:spacing w:after="60" w:line="280"/>
              <w:jc w:val="both"/>
            </w:pPr>
            <w:r>
              <w:rPr>
                <w:rFonts w:ascii="Calibri" w:cs="Calibri" w:eastAsia="Calibri" w:hAnsi="Calibri"/>
                <w:color w:val="2D332F"/>
                <w:sz w:val="22"/>
                <w:szCs w:val="22"/>
              </w:rPr>
              <w:t xml:space="preserve">Dès la soumission à la Caisse nationale, le dossier passe au statut SOUMIS_CAISSE et devient intégralement verrouillé : plus aucune PEC ne peut être ajoutée, modifiée ou retirée. Toute anomalie détectée après soumission devra être traitée dans le cadre d'un retour pour complément par la Caisse, ou fera l'objet d'une régularisation sur le dossier du mois suivant.</w:t>
            </w:r>
          </w:p>
        </w:tc>
      </w:tr>
    </w:tbl>
    <w:p>
      <w:pPr>
        <w:pStyle w:val="Heading2"/>
        <w:spacing w:after="120" w:before="360"/>
      </w:pPr>
      <w:r>
        <w:rPr>
          <w:rFonts w:ascii="Calibri" w:cs="Calibri" w:eastAsia="Calibri" w:hAnsi="Calibri"/>
          <w:b/>
          <w:bCs/>
          <w:color w:val="0F4A2E"/>
          <w:sz w:val="28"/>
          <w:szCs w:val="28"/>
        </w:rPr>
        <w:t xml:space="preserve">6.5  Phase 4 — Instruction par la Caisse nationale</w:t>
      </w:r>
    </w:p>
    <w:p>
      <w:pPr>
        <w:spacing w:after="120" w:before="0" w:line="300"/>
        <w:jc w:val="both"/>
      </w:pPr>
      <w:r>
        <w:rPr>
          <w:rFonts w:ascii="Calibri" w:cs="Calibri" w:eastAsia="Calibri" w:hAnsi="Calibri"/>
          <w:color w:val="2D332F"/>
          <w:sz w:val="22"/>
          <w:szCs w:val="22"/>
        </w:rPr>
        <w:t xml:space="preserve">Les agents de la Caisse nationale instruisent les dossiers reçus selon un workflow à 4 issues possibles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3400"/>
        <w:gridCol w:w="3060"/>
      </w:tblGrid>
      <w:tr>
        <w:trPr>
          <w:tblHeader/>
        </w:trPr>
        <w:tc>
          <w:tcPr>
            <w:tcW w:type="dxa" w:w="2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Statut</w:t>
            </w:r>
          </w:p>
        </w:tc>
        <w:tc>
          <w:tcPr>
            <w:tcW w:type="dxa" w:w="3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c>
          <w:tcPr>
            <w:tcW w:type="dxa" w:w="30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Action suivante</w:t>
            </w:r>
          </w:p>
        </w:tc>
      </w:tr>
      <w:tr>
        <w:tc>
          <w:tcPr>
            <w:tcW w:type="dxa" w:w="2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APPROUVE</w:t>
            </w:r>
          </w:p>
        </w:tc>
        <w:tc>
          <w:tcPr>
            <w:tcW w:type="dxa" w:w="3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 conforme, payable en totalité</w:t>
            </w:r>
          </w:p>
        </w:tc>
        <w:tc>
          <w:tcPr>
            <w:tcW w:type="dxa" w:w="3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Ordonnancement du paiement</w:t>
            </w:r>
          </w:p>
        </w:tc>
      </w:tr>
      <w:tr>
        <w:tc>
          <w:tcPr>
            <w:tcW w:type="dxa" w:w="2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APPROUVE_PARTIELLEMENT</w:t>
            </w:r>
          </w:p>
        </w:tc>
        <w:tc>
          <w:tcPr>
            <w:tcW w:type="dxa" w:w="3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Certaines lignes rejetées (motifs fournis)</w:t>
            </w:r>
          </w:p>
        </w:tc>
        <w:tc>
          <w:tcPr>
            <w:tcW w:type="dxa" w:w="3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Paiement de la partie approuvée uniquement</w:t>
            </w:r>
          </w:p>
        </w:tc>
      </w:tr>
      <w:tr>
        <w:tc>
          <w:tcPr>
            <w:tcW w:type="dxa" w:w="2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RETOURNE_POUR_COMPLEMENT</w:t>
            </w:r>
          </w:p>
        </w:tc>
        <w:tc>
          <w:tcPr>
            <w:tcW w:type="dxa" w:w="3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Informations manquantes</w:t>
            </w:r>
          </w:p>
        </w:tc>
        <w:tc>
          <w:tcPr>
            <w:tcW w:type="dxa" w:w="30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L'établissement complète et re-soumet</w:t>
            </w:r>
          </w:p>
        </w:tc>
      </w:tr>
      <w:tr>
        <w:tc>
          <w:tcPr>
            <w:tcW w:type="dxa" w:w="2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REJETE</w:t>
            </w:r>
          </w:p>
        </w:tc>
        <w:tc>
          <w:tcPr>
            <w:tcW w:type="dxa" w:w="3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 non recevable</w:t>
            </w:r>
          </w:p>
        </w:tc>
        <w:tc>
          <w:tcPr>
            <w:tcW w:type="dxa" w:w="30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Pas de paiement, motif inscrit au dossier</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6.6  Phase 5 — Paiement effectif</w:t>
      </w:r>
    </w:p>
    <w:p>
      <w:pPr>
        <w:spacing w:after="120" w:before="0" w:line="300"/>
        <w:jc w:val="both"/>
      </w:pPr>
      <w:r>
        <w:rPr>
          <w:rFonts w:ascii="Calibri" w:cs="Calibri" w:eastAsia="Calibri" w:hAnsi="Calibri"/>
          <w:color w:val="2D332F"/>
          <w:sz w:val="22"/>
          <w:szCs w:val="22"/>
        </w:rPr>
        <w:t xml:space="preserve">L'ordonnancement du paiement génère un mouvement dans la table cmu_caisse_mouvement (type SORTIE_REMBOURSEMENT) et produit un ordre de virement bancaire vers le RIB de l'établissement tel que configuré au référentiel. L'avis de paiement est horodaté, signé numériquement, et rendu disponible au téléchargement dans l'espace de l'agent facturation.</w:t>
      </w:r>
    </w:p>
    <w:p>
      <w:pPr>
        <w:spacing w:after="120" w:before="0" w:line="300"/>
        <w:jc w:val="both"/>
      </w:pPr>
      <w:r>
        <w:rPr>
          <w:rFonts w:ascii="Calibri" w:cs="Calibri" w:eastAsia="Calibri" w:hAnsi="Calibri"/>
          <w:i/>
          <w:iCs/>
          <w:color w:val="2D332F"/>
          <w:sz w:val="22"/>
          <w:szCs w:val="22"/>
        </w:rPr>
        <w:t xml:space="preserve">Le délai cible de paiement est de 12 jours ouvrés à compter de la soumission, conformément aux engagements du dispositif.</w:t>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7. </w:t>
      </w:r>
      <w:r>
        <w:rPr>
          <w:rFonts w:ascii="Calibri" w:cs="Calibri" w:eastAsia="Calibri" w:hAnsi="Calibri"/>
          <w:b/>
          <w:bCs/>
          <w:color w:val="0A3622"/>
          <w:sz w:val="40"/>
          <w:szCs w:val="40"/>
        </w:rPr>
        <w:t xml:space="preserve">Modèle de données</w:t>
      </w:r>
    </w:p>
    <w:p>
      <w:pPr>
        <w:spacing w:after="40" w:before="200"/>
      </w:pPr>
      <w:r>
        <w:rPr>
          <w:rFonts w:ascii="Calibri" w:cs="Calibri" w:eastAsia="Calibri" w:hAnsi="Calibri"/>
          <w:b/>
          <w:bCs/>
          <w:color w:val="8B6508"/>
          <w:spacing w:val="40"/>
          <w:sz w:val="16"/>
          <w:szCs w:val="16"/>
        </w:rPr>
        <w:t xml:space="preserve">Schéma PostgreSQL pgsql_cmu</w:t>
      </w:r>
    </w:p>
    <w:p>
      <w:pPr>
        <w:spacing w:after="120" w:before="0" w:line="300"/>
        <w:jc w:val="both"/>
      </w:pPr>
      <w:r>
        <w:rPr>
          <w:rFonts w:ascii="Calibri" w:cs="Calibri" w:eastAsia="Calibri" w:hAnsi="Calibri"/>
          <w:color w:val="2D332F"/>
          <w:sz w:val="22"/>
          <w:szCs w:val="22"/>
        </w:rPr>
        <w:t xml:space="preserve">Cette section présente le modèle de données complet de la base dédiée pgsql_cmu. L'ensemble du modèle respecte les conventions PostgreSQL 16 et s'intègre dans l'écosystème multi-bases de MSanté. Les jointures cross-database (vers pgsql_santepro notamment) sont matérialisées par des identifiants logiques avec validation applicative côté Laravel, et non par des contraintes FK natives.</w:t>
      </w:r>
    </w:p>
    <w:p>
      <w:pPr>
        <w:spacing w:after="120" w:before="0" w:line="300"/>
        <w:jc w:val="both"/>
      </w:pPr>
      <w:r>
        <w:rPr>
          <w:rFonts w:ascii="Calibri" w:cs="Calibri" w:eastAsia="Calibri" w:hAnsi="Calibri"/>
          <w:color w:val="2D332F"/>
          <w:sz w:val="22"/>
          <w:szCs w:val="22"/>
        </w:rPr>
        <w:t xml:space="preserve">Conventions retenues pour toutes les tables :</w:t>
      </w:r>
    </w:p>
    <w:p>
      <w:pPr>
        <w:pStyle w:val="ListParagraph"/>
        <w:numPr>
          <w:ilvl w:val="0"/>
          <w:numId w:val="2"/>
        </w:numPr>
        <w:spacing w:after="40" w:before="40" w:line="280"/>
      </w:pPr>
      <w:r>
        <w:rPr>
          <w:rFonts w:ascii="Calibri" w:cs="Calibri" w:eastAsia="Calibri" w:hAnsi="Calibri"/>
          <w:color w:val="2D332F"/>
          <w:sz w:val="22"/>
          <w:szCs w:val="22"/>
        </w:rPr>
        <w:t xml:space="preserve">Clés primaires en BIGSERIAL (id auto-incrémenté)</w:t>
      </w:r>
    </w:p>
    <w:p>
      <w:pPr>
        <w:pStyle w:val="ListParagraph"/>
        <w:numPr>
          <w:ilvl w:val="0"/>
          <w:numId w:val="2"/>
        </w:numPr>
        <w:spacing w:after="40" w:before="40" w:line="280"/>
      </w:pPr>
      <w:r>
        <w:rPr>
          <w:rFonts w:ascii="Calibri" w:cs="Calibri" w:eastAsia="Calibri" w:hAnsi="Calibri"/>
          <w:color w:val="2D332F"/>
          <w:sz w:val="22"/>
          <w:szCs w:val="22"/>
        </w:rPr>
        <w:t xml:space="preserve">Horodatage systématique : created_at, updated_at, created_by, updated_by</w:t>
      </w:r>
    </w:p>
    <w:p>
      <w:pPr>
        <w:pStyle w:val="ListParagraph"/>
        <w:numPr>
          <w:ilvl w:val="0"/>
          <w:numId w:val="2"/>
        </w:numPr>
        <w:spacing w:after="40" w:before="40" w:line="280"/>
      </w:pPr>
      <w:r>
        <w:rPr>
          <w:rFonts w:ascii="Calibri" w:cs="Calibri" w:eastAsia="Calibri" w:hAnsi="Calibri"/>
          <w:color w:val="2D332F"/>
          <w:sz w:val="22"/>
          <w:szCs w:val="22"/>
        </w:rPr>
        <w:t xml:space="preserve">Soft delete via deleted_at TIMESTAMPTZ NULL (sauf tables référentielles et journaux immuables)</w:t>
      </w:r>
    </w:p>
    <w:p>
      <w:pPr>
        <w:pStyle w:val="ListParagraph"/>
        <w:numPr>
          <w:ilvl w:val="0"/>
          <w:numId w:val="2"/>
        </w:numPr>
        <w:spacing w:after="40" w:before="40" w:line="280"/>
      </w:pPr>
      <w:r>
        <w:rPr>
          <w:rFonts w:ascii="Calibri" w:cs="Calibri" w:eastAsia="Calibri" w:hAnsi="Calibri"/>
          <w:color w:val="2D332F"/>
          <w:sz w:val="22"/>
          <w:szCs w:val="22"/>
        </w:rPr>
        <w:t xml:space="preserve">Noms de tables préfixés par cmu_ pour éviter toute collision avec les autres bases</w:t>
      </w:r>
    </w:p>
    <w:p>
      <w:pPr>
        <w:pStyle w:val="ListParagraph"/>
        <w:numPr>
          <w:ilvl w:val="0"/>
          <w:numId w:val="2"/>
        </w:numPr>
        <w:spacing w:after="40" w:before="40" w:line="280"/>
      </w:pPr>
      <w:r>
        <w:rPr>
          <w:rFonts w:ascii="Calibri" w:cs="Calibri" w:eastAsia="Calibri" w:hAnsi="Calibri"/>
          <w:color w:val="2D332F"/>
          <w:sz w:val="22"/>
          <w:szCs w:val="22"/>
        </w:rPr>
        <w:t xml:space="preserve">Noms de colonnes en français, en snake_case</w:t>
      </w:r>
    </w:p>
    <w:p>
      <w:pPr>
        <w:pStyle w:val="ListParagraph"/>
        <w:numPr>
          <w:ilvl w:val="0"/>
          <w:numId w:val="2"/>
        </w:numPr>
        <w:spacing w:after="40" w:before="40" w:line="280"/>
      </w:pPr>
      <w:r>
        <w:rPr>
          <w:rFonts w:ascii="Calibri" w:cs="Calibri" w:eastAsia="Calibri" w:hAnsi="Calibri"/>
          <w:color w:val="2D332F"/>
          <w:sz w:val="22"/>
          <w:szCs w:val="22"/>
        </w:rPr>
        <w:t xml:space="preserve">Énumérations stockées en VARCHAR avec contrainte CHECK et constantes Laravel associées</w:t>
      </w:r>
    </w:p>
    <w:p>
      <w:pPr>
        <w:spacing w:after="120" w:before="0" w:line="300"/>
        <w:jc w:val="both"/>
      </w:pPr>
      <w:r>
        <w:rPr>
          <w:rFonts w:ascii="Calibri" w:cs="Calibri" w:eastAsia="Calibri" w:hAnsi="Calibri"/>
          <w:color w:val="2D332F"/>
          <w:sz w:val="22"/>
          <w:szCs w:val="22"/>
        </w:rPr>
        <w:t xml:space="preserve">Le modèle est organisé en 8 domaines fonctionnels :</w:t>
      </w:r>
    </w:p>
    <w:p>
      <w:pPr>
        <w:pStyle w:val="ListParagraph"/>
        <w:numPr>
          <w:ilvl w:val="0"/>
          <w:numId w:val="2"/>
        </w:numPr>
        <w:spacing w:after="40" w:before="40" w:line="280"/>
      </w:pPr>
      <w:r>
        <w:rPr>
          <w:rFonts w:ascii="Calibri" w:cs="Calibri" w:eastAsia="Calibri" w:hAnsi="Calibri"/>
          <w:b/>
          <w:bCs/>
          <w:color w:val="0F4A2E"/>
          <w:sz w:val="22"/>
          <w:szCs w:val="22"/>
        </w:rPr>
        <w:t xml:space="preserve">D1 Référentiels nationaux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Profils, nomenclature, tarifs, paramètres</w:t>
      </w:r>
    </w:p>
    <w:p>
      <w:pPr>
        <w:pStyle w:val="ListParagraph"/>
        <w:numPr>
          <w:ilvl w:val="0"/>
          <w:numId w:val="2"/>
        </w:numPr>
        <w:spacing w:after="40" w:before="40" w:line="280"/>
      </w:pPr>
      <w:r>
        <w:rPr>
          <w:rFonts w:ascii="Calibri" w:cs="Calibri" w:eastAsia="Calibri" w:hAnsi="Calibri"/>
          <w:b/>
          <w:bCs/>
          <w:color w:val="0F4A2E"/>
          <w:sz w:val="22"/>
          <w:szCs w:val="22"/>
        </w:rPr>
        <w:t xml:space="preserve">D2 Établissements et utilisateurs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Configuration des établissements, rôles, habilitations</w:t>
      </w:r>
    </w:p>
    <w:p>
      <w:pPr>
        <w:pStyle w:val="ListParagraph"/>
        <w:numPr>
          <w:ilvl w:val="0"/>
          <w:numId w:val="2"/>
        </w:numPr>
        <w:spacing w:after="40" w:before="40" w:line="280"/>
      </w:pPr>
      <w:r>
        <w:rPr>
          <w:rFonts w:ascii="Calibri" w:cs="Calibri" w:eastAsia="Calibri" w:hAnsi="Calibri"/>
          <w:b/>
          <w:bCs/>
          <w:color w:val="0F4A2E"/>
          <w:sz w:val="22"/>
          <w:szCs w:val="22"/>
        </w:rPr>
        <w:t xml:space="preserve">D3 Dossiers et adhérents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Cycle de vie des dossiers RGB et RAM</w:t>
      </w:r>
    </w:p>
    <w:p>
      <w:pPr>
        <w:pStyle w:val="ListParagraph"/>
        <w:numPr>
          <w:ilvl w:val="0"/>
          <w:numId w:val="2"/>
        </w:numPr>
        <w:spacing w:after="40" w:before="40" w:line="280"/>
      </w:pPr>
      <w:r>
        <w:rPr>
          <w:rFonts w:ascii="Calibri" w:cs="Calibri" w:eastAsia="Calibri" w:hAnsi="Calibri"/>
          <w:b/>
          <w:bCs/>
          <w:color w:val="0F4A2E"/>
          <w:sz w:val="22"/>
          <w:szCs w:val="22"/>
        </w:rPr>
        <w:t xml:space="preserve">D4 Cartes et IUS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Émission des cartes, séquenceur IUS</w:t>
      </w:r>
    </w:p>
    <w:p>
      <w:pPr>
        <w:pStyle w:val="ListParagraph"/>
        <w:numPr>
          <w:ilvl w:val="0"/>
          <w:numId w:val="2"/>
        </w:numPr>
        <w:spacing w:after="40" w:before="40" w:line="280"/>
      </w:pPr>
      <w:r>
        <w:rPr>
          <w:rFonts w:ascii="Calibri" w:cs="Calibri" w:eastAsia="Calibri" w:hAnsi="Calibri"/>
          <w:b/>
          <w:bCs/>
          <w:color w:val="0F4A2E"/>
          <w:sz w:val="22"/>
          <w:szCs w:val="22"/>
        </w:rPr>
        <w:t xml:space="preserve">D5 Cotisations et flux financiers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Prélèvements, reversements, mouvements caisse</w:t>
      </w:r>
    </w:p>
    <w:p>
      <w:pPr>
        <w:pStyle w:val="ListParagraph"/>
        <w:numPr>
          <w:ilvl w:val="0"/>
          <w:numId w:val="2"/>
        </w:numPr>
        <w:spacing w:after="40" w:before="40" w:line="280"/>
      </w:pPr>
      <w:r>
        <w:rPr>
          <w:rFonts w:ascii="Calibri" w:cs="Calibri" w:eastAsia="Calibri" w:hAnsi="Calibri"/>
          <w:b/>
          <w:bCs/>
          <w:color w:val="0F4A2E"/>
          <w:sz w:val="22"/>
          <w:szCs w:val="22"/>
        </w:rPr>
        <w:t xml:space="preserve">D6 Prise en charge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Épisodes de soins, actes détaillés</w:t>
      </w:r>
    </w:p>
    <w:p>
      <w:pPr>
        <w:pStyle w:val="ListParagraph"/>
        <w:numPr>
          <w:ilvl w:val="0"/>
          <w:numId w:val="2"/>
        </w:numPr>
        <w:spacing w:after="40" w:before="40" w:line="280"/>
      </w:pPr>
      <w:r>
        <w:rPr>
          <w:rFonts w:ascii="Calibri" w:cs="Calibri" w:eastAsia="Calibri" w:hAnsi="Calibri"/>
          <w:b/>
          <w:bCs/>
          <w:color w:val="0F4A2E"/>
          <w:sz w:val="22"/>
          <w:szCs w:val="22"/>
        </w:rPr>
        <w:t xml:space="preserve">D7 Remboursements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Dossiers, lignes, paiements</w:t>
      </w:r>
    </w:p>
    <w:p>
      <w:pPr>
        <w:pStyle w:val="ListParagraph"/>
        <w:numPr>
          <w:ilvl w:val="0"/>
          <w:numId w:val="2"/>
        </w:numPr>
        <w:spacing w:after="40" w:before="40" w:line="280"/>
      </w:pPr>
      <w:r>
        <w:rPr>
          <w:rFonts w:ascii="Calibri" w:cs="Calibri" w:eastAsia="Calibri" w:hAnsi="Calibri"/>
          <w:b/>
          <w:bCs/>
          <w:color w:val="0F4A2E"/>
          <w:sz w:val="22"/>
          <w:szCs w:val="22"/>
        </w:rPr>
        <w:t xml:space="preserve">D8 Traçabilité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Historique, audit, notifications</w:t>
      </w:r>
    </w:p>
    <w:p>
      <w:pPr>
        <w:pStyle w:val="Heading2"/>
        <w:spacing w:after="120" w:before="360"/>
      </w:pPr>
      <w:r>
        <w:rPr>
          <w:rFonts w:ascii="Calibri" w:cs="Calibri" w:eastAsia="Calibri" w:hAnsi="Calibri"/>
          <w:b/>
          <w:bCs/>
          <w:color w:val="0F4A2E"/>
          <w:sz w:val="28"/>
          <w:szCs w:val="28"/>
        </w:rPr>
        <w:t xml:space="preserve">7.1  Domaine 1 — Référentiels nationaux</w:t>
      </w:r>
    </w:p>
    <w:p>
      <w:pPr>
        <w:pStyle w:val="Heading3"/>
        <w:spacing w:after="100" w:before="240"/>
      </w:pPr>
      <w:r>
        <w:rPr>
          <w:rFonts w:ascii="Calibri" w:cs="Calibri" w:eastAsia="Calibri" w:hAnsi="Calibri"/>
          <w:b/>
          <w:bCs/>
          <w:color w:val="1A5D3A"/>
          <w:sz w:val="24"/>
          <w:szCs w:val="24"/>
        </w:rPr>
        <w:t xml:space="preserve">cmu_profil_cotisant</w:t>
      </w:r>
    </w:p>
    <w:p>
      <w:pPr>
        <w:spacing w:after="120" w:before="0" w:line="300"/>
        <w:jc w:val="both"/>
      </w:pPr>
      <w:r>
        <w:rPr>
          <w:rFonts w:ascii="Calibri" w:cs="Calibri" w:eastAsia="Calibri" w:hAnsi="Calibri"/>
          <w:color w:val="2D332F"/>
          <w:sz w:val="22"/>
          <w:szCs w:val="22"/>
        </w:rPr>
        <w:t xml:space="preserve">Les 6 profils de cotisation RGB. Table versionnée : chaque arrêté modificatif crée une nouvelle ligne, les anciennes sont conservées avec leur date de fin d'application.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Identifiant technique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code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Code court : ARTCOM, TRANSP, SALPME, AGRIC, ETUD, RETRAITE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libelle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Libellé affiché dans les interfaces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description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Description longue pour formulaires d'enrôlement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cotisation_mois</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CHECK ≥ 0</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 mensuel en GNF (2000 à 5000)</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justificatif_requis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Nature du justificatif demandé à l'enrôlement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est_ram</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FALSE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TRUE pour le profil virtuel INDIGENT (RAM)</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TRUE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Permet l'enrôlement sur ce profil</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version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Version de l'arrêté ministériel</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date_effet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à partir de laquelle le profil s'applique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date_fin_effet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NULL si en vigueur, sinon date de remplacement</w:t>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cmu_nomenclature_version</w:t>
      </w:r>
    </w:p>
    <w:p>
      <w:pPr>
        <w:spacing w:after="120" w:before="0" w:line="300"/>
        <w:jc w:val="both"/>
      </w:pPr>
      <w:r>
        <w:rPr>
          <w:rFonts w:ascii="Calibri" w:cs="Calibri" w:eastAsia="Calibri" w:hAnsi="Calibri"/>
          <w:color w:val="2D332F"/>
          <w:sz w:val="22"/>
          <w:szCs w:val="22"/>
        </w:rPr>
        <w:t xml:space="preserve">Versions successives de la nomenclature nationale.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Identifiant technique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v3.2, v3.3</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BROUILLON, EN_REVUE, PUBLIE, REMPLACE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reference_arrete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arrêté n° 2026-0215/MSHP/CAB</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date_publication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de signature de l'arrêté</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date_effet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d'application effective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date_fin_effet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de remplacement par la version suivante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commentaire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Notes explicatives de la version</w:t>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cmu_nomenclature_acte</w:t>
      </w:r>
    </w:p>
    <w:p>
      <w:pPr>
        <w:spacing w:after="120" w:before="0" w:line="300"/>
        <w:jc w:val="both"/>
      </w:pPr>
      <w:r>
        <w:rPr>
          <w:rFonts w:ascii="Calibri" w:cs="Calibri" w:eastAsia="Calibri" w:hAnsi="Calibri"/>
          <w:color w:val="2D332F"/>
          <w:sz w:val="22"/>
          <w:szCs w:val="22"/>
        </w:rPr>
        <w:t xml:space="preserve">Les actes médicaux couverts par la CMU.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version_id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cmu_nomenclature_version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code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CS-GEN-001, BIO-NFS-001</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libelle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officiel de l'acte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categorie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 BIO, IMG, EXP, SOI, PHA</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description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Précisions médicales éventuelles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TRUE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Acte disponible à la PEC</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ordre_affichage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0</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Ordre dans les catalogues</w:t>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Contrainte : UNIQUE (version_id, code). Index : (version_id, categorie).</w:t>
      </w:r>
    </w:p>
    <w:p>
      <w:pPr>
        <w:pStyle w:val="Heading3"/>
        <w:spacing w:after="100" w:before="240"/>
      </w:pPr>
      <w:r>
        <w:rPr>
          <w:rFonts w:ascii="Calibri" w:cs="Calibri" w:eastAsia="Calibri" w:hAnsi="Calibri"/>
          <w:b/>
          <w:bCs/>
          <w:color w:val="1A5D3A"/>
          <w:sz w:val="24"/>
          <w:szCs w:val="24"/>
        </w:rPr>
        <w:t xml:space="preserve">cmu_tarif_acte</w:t>
      </w:r>
    </w:p>
    <w:p>
      <w:pPr>
        <w:spacing w:after="120" w:before="0" w:line="300"/>
        <w:jc w:val="both"/>
      </w:pPr>
      <w:r>
        <w:rPr>
          <w:rFonts w:ascii="Calibri" w:cs="Calibri" w:eastAsia="Calibri" w:hAnsi="Calibri"/>
          <w:color w:val="2D332F"/>
          <w:sz w:val="22"/>
          <w:szCs w:val="22"/>
        </w:rPr>
        <w:t xml:space="preserve">Grille tarifaire : tarif d'un acte selon le type d'établissement prestataire.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acte_id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cmu_nomenclature_acte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type_etablissement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CHU, HR, HP, CMC, CS, PS, CL_PRIV, CAB_PRIV, DISP</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CHECK ≥ 0</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 en GNF</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disponible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TRUE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Acte réalisable à ce niveau</w:t>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Contrainte : UNIQUE (acte_id, type_etablissement). Une ligne absente signifie que l'acte n'est pas pratiqué à ce niveau et ne peut donc pas être sélectionné lors d'une PEC dans ce type d'établissement.</w:t>
      </w:r>
    </w:p>
    <w:p>
      <w:pPr>
        <w:pStyle w:val="Heading3"/>
        <w:spacing w:after="100" w:before="240"/>
      </w:pPr>
      <w:r>
        <w:rPr>
          <w:rFonts w:ascii="Calibri" w:cs="Calibri" w:eastAsia="Calibri" w:hAnsi="Calibri"/>
          <w:b/>
          <w:bCs/>
          <w:color w:val="1A5D3A"/>
          <w:sz w:val="24"/>
          <w:szCs w:val="24"/>
        </w:rPr>
        <w:t xml:space="preserve">cmu_parametre</w:t>
      </w:r>
    </w:p>
    <w:p>
      <w:pPr>
        <w:spacing w:after="120" w:before="0" w:line="300"/>
        <w:jc w:val="both"/>
      </w:pPr>
      <w:r>
        <w:rPr>
          <w:rFonts w:ascii="Calibri" w:cs="Calibri" w:eastAsia="Calibri" w:hAnsi="Calibri"/>
          <w:color w:val="2D332F"/>
          <w:sz w:val="22"/>
          <w:szCs w:val="22"/>
        </w:rPr>
        <w:t xml:space="preserve">Table clé-valeur pour les paramètres globaux de la plateforme (délais, taux, seuils).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Identifiant du paramètre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valeur</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Valeur sérialisée (JSON si complexe)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type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 STRING, BOOL, JSON</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description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Description du paramètre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modifiable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TRUE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Certains paramètres sont verrouillés (audit)</w:t>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Paramètres initiaux : delai_grace_mois=2, taux_pec_rgb=80, taux_pec_ram=100, reevaluation_ram_annees=2, age_max_ayant_droit=17, heure_cron_cotisation='06:00', heure_cron_cloture='02:00'.</w:t>
      </w:r>
    </w:p>
    <w:p>
      <w:pPr>
        <w:pStyle w:val="Heading2"/>
        <w:spacing w:after="120" w:before="360"/>
      </w:pPr>
      <w:r>
        <w:rPr>
          <w:rFonts w:ascii="Calibri" w:cs="Calibri" w:eastAsia="Calibri" w:hAnsi="Calibri"/>
          <w:b/>
          <w:bCs/>
          <w:color w:val="0F4A2E"/>
          <w:sz w:val="28"/>
          <w:szCs w:val="28"/>
        </w:rPr>
        <w:t xml:space="preserve">7.2  Domaine 2 — Établissements et utilisateurs</w:t>
      </w:r>
    </w:p>
    <w:p>
      <w:pPr>
        <w:pStyle w:val="Heading3"/>
        <w:spacing w:after="100" w:before="240"/>
      </w:pPr>
      <w:r>
        <w:rPr>
          <w:rFonts w:ascii="Calibri" w:cs="Calibri" w:eastAsia="Calibri" w:hAnsi="Calibri"/>
          <w:b/>
          <w:bCs/>
          <w:color w:val="1A5D3A"/>
          <w:sz w:val="24"/>
          <w:szCs w:val="24"/>
        </w:rPr>
        <w:t xml:space="preserve">cmu_etablissement</w:t>
      </w:r>
    </w:p>
    <w:p>
      <w:pPr>
        <w:spacing w:after="120" w:before="0" w:line="300"/>
        <w:jc w:val="both"/>
      </w:pPr>
      <w:r>
        <w:rPr>
          <w:rFonts w:ascii="Calibri" w:cs="Calibri" w:eastAsia="Calibri" w:hAnsi="Calibri"/>
          <w:color w:val="2D332F"/>
          <w:sz w:val="22"/>
          <w:szCs w:val="22"/>
        </w:rPr>
        <w:t xml:space="preserve">Configuration CMU de chaque établissement conventionné. Pré-initialisée avec les 4 hôpitaux déjà connectés à MSanté (codes 0001 à 0004).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code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4 chiffres — utilisé dans l'IUS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nom_officiel</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complet de l'établissement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type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CHU, HR, HP, CMC, CS, PS, CL_PRIV, CAB_PRIV, DISP</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region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Région administrative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prefecture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Préfecture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sous_prefecture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Sous-préfecture ou commune urbaine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adresse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Adresse postale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latitude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NUMERIC(9,6)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Coordonnée GPS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longitude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NUMERIC(9,6)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Coordonnée GPS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telephone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Téléphone principal</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email</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Email de contact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directeur_nom</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du directeur en fonction</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 EN_COURS_CONVENTIONNEMENT, SUSPENDU, INACTIF</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date_conventionnement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de signature de la convention</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reference_convention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Référence de la convention signée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banque_nom</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de la banque (remboursements)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banque_rib</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RIB du compte bancaire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banque_libelle_compte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Libellé officiel du compte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capacite_lits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 de lits (statistiques)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id_etablissement_santepro</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 logique vers pgsql_santepro.etablissement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created_at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updated_at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cmu_utilisateur</w:t>
      </w:r>
    </w:p>
    <w:p>
      <w:pPr>
        <w:spacing w:after="120" w:before="0" w:line="300"/>
        <w:jc w:val="both"/>
      </w:pPr>
      <w:r>
        <w:rPr>
          <w:rFonts w:ascii="Calibri" w:cs="Calibri" w:eastAsia="Calibri" w:hAnsi="Calibri"/>
          <w:color w:val="2D332F"/>
          <w:sz w:val="22"/>
          <w:szCs w:val="22"/>
        </w:rPr>
        <w:t xml:space="preserve">Comptes utilisateurs de la plateforme CMU. Authentification Laravel standard enrichie.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email</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Identifiant de connexion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mot_de_passe_hash</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Hash bcrypt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prenoms</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telephone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etablissement_id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NULL pour les rôles nationaux/régionaux</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TRUE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Désactivation sans suppression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doit_changer_mdp</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FALSE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Au premier login ou après reset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derniere_connexion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mfa_actif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FALSE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Authentification à 2 facteurs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mfa_secret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TOTP secret chiffré</w:t>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cmu_role</w:t>
      </w:r>
    </w:p>
    <w:p>
      <w:pPr>
        <w:spacing w:after="120" w:before="0" w:line="300"/>
        <w:jc w:val="both"/>
      </w:pPr>
      <w:r>
        <w:rPr>
          <w:rFonts w:ascii="Calibri" w:cs="Calibri" w:eastAsia="Calibri" w:hAnsi="Calibri"/>
          <w:color w:val="2D332F"/>
          <w:sz w:val="22"/>
          <w:szCs w:val="22"/>
        </w:rPr>
        <w:t xml:space="preserve">Référentiel des rôles disponibles. Table figée, ajouts uniquement par migration.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code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VARCHAR(48)</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SUPER_ADMIN_CMU, ADMIN_CMU, VALIDATEUR_CENTRAL, …</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libelle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portee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 REGIONAL, ETABLISSEMENT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description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Périmètre d'action du rôle</w:t>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cmu_utilisateur_role</w:t>
      </w:r>
    </w:p>
    <w:p>
      <w:pPr>
        <w:spacing w:after="120" w:before="0" w:line="300"/>
        <w:jc w:val="both"/>
      </w:pPr>
      <w:r>
        <w:rPr>
          <w:rFonts w:ascii="Calibri" w:cs="Calibri" w:eastAsia="Calibri" w:hAnsi="Calibri"/>
          <w:color w:val="2D332F"/>
          <w:sz w:val="22"/>
          <w:szCs w:val="22"/>
        </w:rPr>
        <w:t xml:space="preserve">Jointure n-n entre utilisateurs et rôles. Un utilisateur peut avoir plusieurs rôles.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utilisateur_id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role_id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cmu_role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portee_id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Pour les rôles régionaux : id de la région</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attribue_le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attribue_par</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(audit)</w:t>
            </w:r>
          </w:p>
        </w:tc>
      </w:tr>
    </w:tbl>
    <w:p>
      <w:pPr>
        <w:spacing w:after="0"/>
      </w:pPr>
      <w:r>
        <w:rPr>
          <w:sz w:val="6"/>
          <w:szCs w:val="6"/>
        </w:rPr>
        <w:t xml:space="preserve"/>
      </w:r>
    </w:p>
    <w:p>
      <w:pPr>
        <w:pStyle w:val="Heading2"/>
        <w:spacing w:after="120" w:before="360"/>
      </w:pPr>
      <w:r>
        <w:rPr>
          <w:rFonts w:ascii="Calibri" w:cs="Calibri" w:eastAsia="Calibri" w:hAnsi="Calibri"/>
          <w:b/>
          <w:bCs/>
          <w:color w:val="0F4A2E"/>
          <w:sz w:val="28"/>
          <w:szCs w:val="28"/>
        </w:rPr>
        <w:t xml:space="preserve">7.3  Domaine 3 — Dossiers et adhérents</w:t>
      </w:r>
    </w:p>
    <w:p>
      <w:pPr>
        <w:pStyle w:val="Heading3"/>
        <w:spacing w:after="100" w:before="240"/>
      </w:pPr>
      <w:r>
        <w:rPr>
          <w:rFonts w:ascii="Calibri" w:cs="Calibri" w:eastAsia="Calibri" w:hAnsi="Calibri"/>
          <w:b/>
          <w:bCs/>
          <w:color w:val="1A5D3A"/>
          <w:sz w:val="24"/>
          <w:szCs w:val="24"/>
        </w:rPr>
        <w:t xml:space="preserve">cmu_dossier</w:t>
      </w:r>
    </w:p>
    <w:p>
      <w:pPr>
        <w:spacing w:after="120" w:before="0" w:line="300"/>
        <w:jc w:val="both"/>
      </w:pPr>
      <w:r>
        <w:rPr>
          <w:rFonts w:ascii="Calibri" w:cs="Calibri" w:eastAsia="Calibri" w:hAnsi="Calibri"/>
          <w:color w:val="2D332F"/>
          <w:sz w:val="22"/>
          <w:szCs w:val="22"/>
        </w:rPr>
        <w:t xml:space="preserve">Dossier d'enrôlement : unique entité centrale, elle couvre tout le cycle de vie du bénéficiaire quel que soit son régime.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ius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VARCHAR(15)</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Identifiant national 15 chiffres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etablissement_enrolement_id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cmu_etablissement (immuable, détermine l'IUS)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agent_enroleur_id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regime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VARCHAR(8)</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RGB ou RAM</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profil_cotisant_id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cmu_profil_cotisant (NULL pour RAM)</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BROUILLON, SOUMIS, REJETE, VALIDE, EN_ATTENTE_ACTIVATION, ACTIF, ACTIF_EN_RETARD, SUSPENDU, CLOTURE, RAM_*</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civilite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VARCHAR(8)</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 Mme, Mlle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prenoms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date_naissance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lieu_naissance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sexe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 F</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situation_matrimoniale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CELIBATAIRE, MARIE, DIVORCE, VEUF</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nationalite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'Guinéenne'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profession_declaree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Activité déclarée (utile pour justification profil)</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region_residence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prefecture_residence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quartier_residence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adresse_complete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date_soumission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Passage à SOUMIS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date_validation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Passage à VALIDE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valide_par</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date_activation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1er du mois suivant la validation (RGB) ou immédiate (RAM)</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motif_rejet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Renseigné si statut REJETE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nombre_echecs_cotisation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0</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Compteur d'échecs consécutifs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date_prochaine_reevaluation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RAM uniquement — date + 2 ans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created_at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updated_at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Index : (ius), (statut, regime), (etablissement_enrolement_id, statut), (nom, prenoms).</w:t>
      </w:r>
    </w:p>
    <w:p>
      <w:pPr>
        <w:pStyle w:val="Heading3"/>
        <w:spacing w:after="100" w:before="240"/>
      </w:pPr>
      <w:r>
        <w:rPr>
          <w:rFonts w:ascii="Calibri" w:cs="Calibri" w:eastAsia="Calibri" w:hAnsi="Calibri"/>
          <w:b/>
          <w:bCs/>
          <w:color w:val="1A5D3A"/>
          <w:sz w:val="24"/>
          <w:szCs w:val="24"/>
        </w:rPr>
        <w:t xml:space="preserve">cmu_piece_identite</w:t>
      </w:r>
    </w:p>
    <w:p>
      <w:pPr>
        <w:spacing w:after="120" w:before="0" w:line="300"/>
        <w:jc w:val="both"/>
      </w:pPr>
      <w:r>
        <w:rPr>
          <w:rFonts w:ascii="Calibri" w:cs="Calibri" w:eastAsia="Calibri" w:hAnsi="Calibri"/>
          <w:color w:val="2D332F"/>
          <w:sz w:val="22"/>
          <w:szCs w:val="22"/>
        </w:rPr>
        <w:t xml:space="preserve">Pièce d'identité attachée à un dossier. Un dossier peut en avoir plusieurs (par exemple : CNI + passeport).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type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CNI, PASSEPORT, CARTE_ELECTORALE, ACTE_NAISSANCE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Numéro figurant sur la pièce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date_delivrance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date_expiration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lieu_delivrance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chemin_recto</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Chemin du scan (stockage MinIO ou IIS)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chemin_verso</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est_principale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TRUE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Pièce d'identité principale</w:t>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Contrainte : unicité nationale de la pièce d'identité principale — UNIQUE (type, numero) WHERE est_principale = TRUE. Empêche un même citoyen de s'enrôler deux fois.</w:t>
      </w:r>
    </w:p>
    <w:p>
      <w:pPr>
        <w:pStyle w:val="Heading3"/>
        <w:spacing w:after="100" w:before="240"/>
      </w:pPr>
      <w:r>
        <w:rPr>
          <w:rFonts w:ascii="Calibri" w:cs="Calibri" w:eastAsia="Calibri" w:hAnsi="Calibri"/>
          <w:b/>
          <w:bCs/>
          <w:color w:val="1A5D3A"/>
          <w:sz w:val="24"/>
          <w:szCs w:val="24"/>
        </w:rPr>
        <w:t xml:space="preserve">cmu_telephone</w:t>
      </w:r>
    </w:p>
    <w:p>
      <w:pPr>
        <w:spacing w:after="120" w:before="0" w:line="300"/>
        <w:jc w:val="both"/>
      </w:pPr>
      <w:r>
        <w:rPr>
          <w:rFonts w:ascii="Calibri" w:cs="Calibri" w:eastAsia="Calibri" w:hAnsi="Calibri"/>
          <w:color w:val="2D332F"/>
          <w:sz w:val="22"/>
          <w:szCs w:val="22"/>
        </w:rPr>
        <w:t xml:space="preserve">Numéros de téléphone associés au dossier, dont celui désigné pour le prélèvement des cotisations (RGB).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Format international +224...</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operateur</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MTN, ORANGE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est_principal</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FALSE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Ligne désignée pour la cotisation (un seul TRUE par dossier)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est_verifie_otp</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FALSE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OTP confirmé</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date_verification_otp</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cmu_ayant_droit</w:t>
      </w:r>
    </w:p>
    <w:p>
      <w:pPr>
        <w:spacing w:after="120" w:before="0" w:line="300"/>
        <w:jc w:val="both"/>
      </w:pPr>
      <w:r>
        <w:rPr>
          <w:rFonts w:ascii="Calibri" w:cs="Calibri" w:eastAsia="Calibri" w:hAnsi="Calibri"/>
          <w:color w:val="2D332F"/>
          <w:sz w:val="22"/>
          <w:szCs w:val="22"/>
        </w:rPr>
        <w:t xml:space="preserve">Ayants droit rattachés au titulaire : enfants jusqu'à 17 ans inclus.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 (titulaire)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prenoms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date_naissance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CHECK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Doit donner âge ≤ 17</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sexe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lien_parente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FILS, FILLE, ENFANT_ADOPTIF, ENFANT_A_CHARGE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acte_naissance_chemin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Justificatif</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TRUE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Devient FALSE à 18 ans (tâche planifiée)</w:t>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Tâche planifiée : chaque 1er du mois, un cron désactive automatiquement les ayants droit ayant atteint ou dépassé 18 ans durant le mois précédent, avec notification au titulaire.</w:t>
      </w:r>
    </w:p>
    <w:p>
      <w:pPr>
        <w:pStyle w:val="Heading3"/>
        <w:spacing w:after="100" w:before="240"/>
      </w:pPr>
      <w:r>
        <w:rPr>
          <w:rFonts w:ascii="Calibri" w:cs="Calibri" w:eastAsia="Calibri" w:hAnsi="Calibri"/>
          <w:b/>
          <w:bCs/>
          <w:color w:val="1A5D3A"/>
          <w:sz w:val="24"/>
          <w:szCs w:val="24"/>
        </w:rPr>
        <w:t xml:space="preserve">cmu_enquete_sociale</w:t>
      </w:r>
    </w:p>
    <w:p>
      <w:pPr>
        <w:spacing w:after="120" w:before="0" w:line="300"/>
        <w:jc w:val="both"/>
      </w:pPr>
      <w:r>
        <w:rPr>
          <w:rFonts w:ascii="Calibri" w:cs="Calibri" w:eastAsia="Calibri" w:hAnsi="Calibri"/>
          <w:color w:val="2D332F"/>
          <w:sz w:val="22"/>
          <w:szCs w:val="22"/>
        </w:rPr>
        <w:t xml:space="preserve">Spécifique au régime RAM. Rapport d'enquête sociale conduite par un agent du MASS.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agent_social_id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(rôle AGENT_SOCIAL_RAM)</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date_enquete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composition_foyer</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 de personnes au foyer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revenu_mensuel_estime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GNF, 0 si sans revenu</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situation_logement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VARCHAR(48)</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PROPRIETAIRE, LOCATAIRE, HEBERGE, SANS_DOMICILE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vulnerabilites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Handicap, maladie chronique, isolement, etc.</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rapport_narratif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Synthèse de l'enquête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rapport_pdf_chemin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Scan du rapport signé</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conclusion_agent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FAVORABLE, DEFAVORABLE, INCOMPLET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date_commission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 d'examen par la commission inter-ministérielle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decision_commission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APPROUVEE, REJETEE, AJOURNEE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motif_commission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cmu_historique_statut</w:t>
      </w:r>
    </w:p>
    <w:p>
      <w:pPr>
        <w:spacing w:after="120" w:before="0" w:line="300"/>
        <w:jc w:val="both"/>
      </w:pPr>
      <w:r>
        <w:rPr>
          <w:rFonts w:ascii="Calibri" w:cs="Calibri" w:eastAsia="Calibri" w:hAnsi="Calibri"/>
          <w:color w:val="2D332F"/>
          <w:sz w:val="22"/>
          <w:szCs w:val="22"/>
        </w:rPr>
        <w:t xml:space="preserve">Journal complet des transitions d'état de tous les dossiers. Table immuable, INSERT uniquement.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statut_precedent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NULL pour la création</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statut_nouveau</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Renseigné pour REJETE, SUSPENDU, etc.</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auteur_id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(NULL si automate)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source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MANUEL, AUTOMATE_COTISATION, AUTOMATE_REEVALUATION, …</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horodatage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DEFAULT now()</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pStyle w:val="Heading2"/>
        <w:spacing w:after="120" w:before="360"/>
      </w:pPr>
      <w:r>
        <w:rPr>
          <w:rFonts w:ascii="Calibri" w:cs="Calibri" w:eastAsia="Calibri" w:hAnsi="Calibri"/>
          <w:b/>
          <w:bCs/>
          <w:color w:val="0F4A2E"/>
          <w:sz w:val="28"/>
          <w:szCs w:val="28"/>
        </w:rPr>
        <w:t xml:space="preserve">7.4  Domaine 4 — Cartes et IUS</w:t>
      </w:r>
    </w:p>
    <w:p>
      <w:pPr>
        <w:pStyle w:val="Heading3"/>
        <w:spacing w:after="100" w:before="240"/>
      </w:pPr>
      <w:r>
        <w:rPr>
          <w:rFonts w:ascii="Calibri" w:cs="Calibri" w:eastAsia="Calibri" w:hAnsi="Calibri"/>
          <w:b/>
          <w:bCs/>
          <w:color w:val="1A5D3A"/>
          <w:sz w:val="24"/>
          <w:szCs w:val="24"/>
        </w:rPr>
        <w:t xml:space="preserve">cmu_carte</w:t>
      </w:r>
    </w:p>
    <w:p>
      <w:pPr>
        <w:spacing w:after="120" w:before="0" w:line="300"/>
        <w:jc w:val="both"/>
      </w:pPr>
      <w:r>
        <w:rPr>
          <w:rFonts w:ascii="Calibri" w:cs="Calibri" w:eastAsia="Calibri" w:hAnsi="Calibri"/>
          <w:color w:val="2D332F"/>
          <w:sz w:val="22"/>
          <w:szCs w:val="22"/>
        </w:rPr>
        <w:t xml:space="preserve">Cartes CMU émises. Historique complet : une carte peut être rééditée (perte, renouvellement annuel).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numero_serie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CMU-0047-A1F9</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version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DEFAULT 1</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Incrémenté à chaque réédition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motif_edition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INITIAL, RENOUVELLEMENT, REEDITION_PERTE, CHANGEMENT_REGIME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date_emission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date_debut_validite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date_fin_validite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 défaut : date_debut + 12 mois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emise_par</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etablissement_emission_id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cmu_etablissement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qr_payload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JSON signé HMAC</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qr_signature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HMAC-SHA256 hex</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ACTIVE, EXPIREE, REMPLACEE, REVOQUEE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pdf_chemin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Chemin du PDF généré</w:t>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cmu_ius_sequence</w:t>
      </w:r>
    </w:p>
    <w:p>
      <w:pPr>
        <w:spacing w:after="120" w:before="0" w:line="300"/>
        <w:jc w:val="both"/>
      </w:pPr>
      <w:r>
        <w:rPr>
          <w:rFonts w:ascii="Calibri" w:cs="Calibri" w:eastAsia="Calibri" w:hAnsi="Calibri"/>
          <w:color w:val="2D332F"/>
          <w:sz w:val="22"/>
          <w:szCs w:val="22"/>
        </w:rPr>
        <w:t xml:space="preserve">Séquenceur de génération des IUS. Une ligne par couple (etablissement, année).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etablissement_id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cmu_etablissement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annee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 CHECK ≥ 2026</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numero_courant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DEFAULT 0 CHECK ≥ 0 AND ≤ 9999999</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Dernier numéro attribué</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updated_at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L'accès à cette table en écriture se fait exclusivement via la procédure atomique décrite en §4.3. Une tâche planifiée au 1er janvier insère les lignes de la nouvelle année pour tous les établissements ACTIF avec numero_courant=0.</w:t>
      </w:r>
    </w:p>
    <w:p>
      <w:pPr>
        <w:pStyle w:val="Heading2"/>
        <w:spacing w:after="120" w:before="360"/>
      </w:pPr>
      <w:r>
        <w:rPr>
          <w:rFonts w:ascii="Calibri" w:cs="Calibri" w:eastAsia="Calibri" w:hAnsi="Calibri"/>
          <w:b/>
          <w:bCs/>
          <w:color w:val="0F4A2E"/>
          <w:sz w:val="28"/>
          <w:szCs w:val="28"/>
        </w:rPr>
        <w:t xml:space="preserve">7.5  Domaine 5 — Cotisations et flux financiers</w:t>
      </w:r>
    </w:p>
    <w:p>
      <w:pPr>
        <w:pStyle w:val="Heading3"/>
        <w:spacing w:after="100" w:before="240"/>
      </w:pPr>
      <w:r>
        <w:rPr>
          <w:rFonts w:ascii="Calibri" w:cs="Calibri" w:eastAsia="Calibri" w:hAnsi="Calibri"/>
          <w:b/>
          <w:bCs/>
          <w:color w:val="1A5D3A"/>
          <w:sz w:val="24"/>
          <w:szCs w:val="24"/>
        </w:rPr>
        <w:t xml:space="preserve">cmu_cotisation_prelevement</w:t>
      </w:r>
    </w:p>
    <w:p>
      <w:pPr>
        <w:spacing w:after="120" w:before="0" w:line="300"/>
        <w:jc w:val="both"/>
      </w:pPr>
      <w:r>
        <w:rPr>
          <w:rFonts w:ascii="Calibri" w:cs="Calibri" w:eastAsia="Calibri" w:hAnsi="Calibri"/>
          <w:color w:val="2D332F"/>
          <w:sz w:val="22"/>
          <w:szCs w:val="22"/>
        </w:rPr>
        <w:t xml:space="preserve">Chaque tentative de prélèvement mensuel (RGB). Une ligne par (dossier, mois).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periode_mois</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CHAR(7)</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2026-04 (YYYY-MM)</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 dû selon profil au moment du prélèvement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operateur</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MTN, ORANGE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numero_telephone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Cliché du numéro principal</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EN_ATTENTE, SUCCES, ECHEC</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code_retour_operateur</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message_operateur</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reference_transaction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Identifiant opérateur en cas de succès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tentatives</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1</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 d'appels effectués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date_premier_essai</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date_derniere_tentative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date_succes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Renseigné si SUCCES</w:t>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Contrainte : UNIQUE (dossier_id, periode_mois). Index : (statut, periode_mois), (operateur, statut).</w:t>
      </w:r>
    </w:p>
    <w:p>
      <w:pPr>
        <w:pStyle w:val="Heading3"/>
        <w:spacing w:after="100" w:before="240"/>
      </w:pPr>
      <w:r>
        <w:rPr>
          <w:rFonts w:ascii="Calibri" w:cs="Calibri" w:eastAsia="Calibri" w:hAnsi="Calibri"/>
          <w:b/>
          <w:bCs/>
          <w:color w:val="1A5D3A"/>
          <w:sz w:val="24"/>
          <w:szCs w:val="24"/>
        </w:rPr>
        <w:t xml:space="preserve">cmu_reversement_operateur</w:t>
      </w:r>
    </w:p>
    <w:p>
      <w:pPr>
        <w:spacing w:after="120" w:before="0" w:line="300"/>
        <w:jc w:val="both"/>
      </w:pPr>
      <w:r>
        <w:rPr>
          <w:rFonts w:ascii="Calibri" w:cs="Calibri" w:eastAsia="Calibri" w:hAnsi="Calibri"/>
          <w:color w:val="2D332F"/>
          <w:sz w:val="22"/>
          <w:szCs w:val="22"/>
        </w:rPr>
        <w:t xml:space="preserve">Reversements mensuels de chaque opérateur vers la Caisse nationale CMU.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operateur</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MTN, ORANGE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periode_mois</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CHAR(7)</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YYYY-MM</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montant_collecte_gnf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Total prélevé sur la période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commission_operateur_gnf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 opérateur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montant_reverse_gnf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Net versé à la Caisse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date_reversement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reference_virement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Référence bancaire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justificatif_chemin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PDF de l'opérateur</w:t>
            </w:r>
          </w:p>
        </w:tc>
      </w:tr>
    </w:tbl>
    <w:p>
      <w:pPr>
        <w:spacing w:after="0"/>
      </w:pPr>
      <w:r>
        <w:rPr>
          <w:sz w:val="6"/>
          <w:szCs w:val="6"/>
        </w:rPr>
        <w:t xml:space="preserve"/>
      </w:r>
    </w:p>
    <w:p>
      <w:pPr>
        <w:pStyle w:val="Heading3"/>
        <w:spacing w:after="100" w:before="240"/>
      </w:pPr>
      <w:r>
        <w:rPr>
          <w:rFonts w:ascii="Calibri" w:cs="Calibri" w:eastAsia="Calibri" w:hAnsi="Calibri"/>
          <w:b/>
          <w:bCs/>
          <w:color w:val="1A5D3A"/>
          <w:sz w:val="24"/>
          <w:szCs w:val="24"/>
        </w:rPr>
        <w:t xml:space="preserve">cmu_caisse_mouvement</w:t>
      </w:r>
    </w:p>
    <w:p>
      <w:pPr>
        <w:spacing w:after="120" w:before="0" w:line="300"/>
        <w:jc w:val="both"/>
      </w:pPr>
      <w:r>
        <w:rPr>
          <w:rFonts w:ascii="Calibri" w:cs="Calibri" w:eastAsia="Calibri" w:hAnsi="Calibri"/>
          <w:color w:val="2D332F"/>
          <w:sz w:val="22"/>
          <w:szCs w:val="22"/>
        </w:rPr>
        <w:t xml:space="preserve">Grand livre de la Caisse nationale. Tous les flux financiers sont enregistrés ici : entrées (reversements opérateurs, dotation État RAM) et sorties (remboursements hôpitaux, frais de fonctionnement).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date_mouvement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type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ENTREE_REVERSEMENT, ENTREE_DOTATION_ETAT, SORTIE_REMBOURSEMENT, SORTIE_OPERATIONNELLE, AJUSTEMENT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sens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VARCHAR(8)</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DEBIT, CREDIT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CHECK &gt; 0</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solde_apres_gnf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Solde de la caisse après mouvement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reference_externe_id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 de l'entité source (reversement, remboursement, etc.)</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reference_externe_type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VARCHAR(48)</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Type de l'entité source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libelle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Libellé comptable du mouvement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piece_justificative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created_by</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w:t>
            </w:r>
          </w:p>
        </w:tc>
      </w:tr>
    </w:tbl>
    <w:p>
      <w:pPr>
        <w:spacing w:after="0"/>
      </w:pPr>
      <w:r>
        <w:rPr>
          <w:sz w:val="6"/>
          <w:szCs w:val="6"/>
        </w:rPr>
        <w:t xml:space="preserve"/>
      </w:r>
    </w:p>
    <w:p>
      <w:pPr>
        <w:pStyle w:val="Heading2"/>
        <w:spacing w:after="120" w:before="360"/>
      </w:pPr>
      <w:r>
        <w:rPr>
          <w:rFonts w:ascii="Calibri" w:cs="Calibri" w:eastAsia="Calibri" w:hAnsi="Calibri"/>
          <w:b/>
          <w:bCs/>
          <w:color w:val="0F4A2E"/>
          <w:sz w:val="28"/>
          <w:szCs w:val="28"/>
        </w:rPr>
        <w:t xml:space="preserve">7.6  Domaine 6 — Prise en charge</w:t>
      </w:r>
    </w:p>
    <w:p>
      <w:pPr>
        <w:pStyle w:val="Heading3"/>
        <w:spacing w:after="100" w:before="240"/>
      </w:pPr>
      <w:r>
        <w:rPr>
          <w:rFonts w:ascii="Calibri" w:cs="Calibri" w:eastAsia="Calibri" w:hAnsi="Calibri"/>
          <w:b/>
          <w:bCs/>
          <w:color w:val="1A5D3A"/>
          <w:sz w:val="24"/>
          <w:szCs w:val="24"/>
        </w:rPr>
        <w:t xml:space="preserve">cmu_prise_en_charge</w:t>
      </w:r>
    </w:p>
    <w:p>
      <w:pPr>
        <w:spacing w:after="120" w:before="0" w:line="300"/>
        <w:jc w:val="both"/>
      </w:pPr>
      <w:r>
        <w:rPr>
          <w:rFonts w:ascii="Calibri" w:cs="Calibri" w:eastAsia="Calibri" w:hAnsi="Calibri"/>
          <w:color w:val="2D332F"/>
          <w:sz w:val="22"/>
          <w:szCs w:val="22"/>
        </w:rPr>
        <w:t xml:space="preserve">En-tête d'une PEC : l'épisode de soins d'un bénéficiaire à un instant donné.</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numero_pec</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PEC-2026-04-000147</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ayant_droit_id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cmu_ayant_droit (NULL si titulaire)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etablissement_id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cmu_etablissement (où se font les soins)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(agent enrôlement guichet)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date_pec</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Date/heure de l'acte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regime_applique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VARCHAR(8)</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Figé au moment de la PEC : RGB ou RAM</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taux_pec</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NUMERIC(5,2)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Figé : 80.00 ou 100.00</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total_actes_gnf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Somme des tarifs avant PEC</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part_cmu_gnf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Total × taux_pec / 100</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part_patient_gnf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Total − part CMU</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ticket_modérateur_encaisse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BOOLEAN</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FALSE</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True quand le patient a payé sa part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BROUILLON, VALIDEE, ANNULEE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motif_annulation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version_nomenclature_id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cmu_nomenclature_version (pour traçabilité tarifaire)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observation_medicale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inclue_dans_remboursement_id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cmu_dossier_remboursement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created_at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Index : (dossier_id, date_pec DESC), (etablissement_id, date_pec), (date_pec, statut).</w:t>
      </w:r>
    </w:p>
    <w:p>
      <w:pPr>
        <w:pStyle w:val="Heading3"/>
        <w:spacing w:after="100" w:before="240"/>
      </w:pPr>
      <w:r>
        <w:rPr>
          <w:rFonts w:ascii="Calibri" w:cs="Calibri" w:eastAsia="Calibri" w:hAnsi="Calibri"/>
          <w:b/>
          <w:bCs/>
          <w:color w:val="1A5D3A"/>
          <w:sz w:val="24"/>
          <w:szCs w:val="24"/>
        </w:rPr>
        <w:t xml:space="preserve">cmu_prise_en_charge_acte</w:t>
      </w:r>
    </w:p>
    <w:p>
      <w:pPr>
        <w:spacing w:after="120" w:before="0" w:line="300"/>
        <w:jc w:val="both"/>
      </w:pPr>
      <w:r>
        <w:rPr>
          <w:rFonts w:ascii="Calibri" w:cs="Calibri" w:eastAsia="Calibri" w:hAnsi="Calibri"/>
          <w:color w:val="2D332F"/>
          <w:sz w:val="22"/>
          <w:szCs w:val="22"/>
        </w:rPr>
        <w:t xml:space="preserve">Lignes détaillées d'une PEC : les actes médicaux individuels pratiqués.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pec_id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cmu_prise_en_charge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acte_id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cmu_nomenclature_acte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cmu_tarif_acte (figé au moment de la PEC)</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 effectivement appliqué</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quantite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DEFAULT 1 CHECK &gt; 0</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Normalement 1, parfois &gt;1</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montant_total_gnf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tarif × quantite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part_cmu_gnf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part_patient_gnf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prescripteur_nom</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Médecin prescripteur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service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Service de l'établissement (Cardio, Pédiatrie…)</w:t>
            </w:r>
          </w:p>
        </w:tc>
      </w:tr>
    </w:tbl>
    <w:p>
      <w:pPr>
        <w:spacing w:after="0"/>
      </w:pPr>
      <w:r>
        <w:rPr>
          <w:sz w:val="6"/>
          <w:szCs w:val="6"/>
        </w:rPr>
        <w:t xml:space="preserve"/>
      </w:r>
    </w:p>
    <w:p>
      <w:pPr>
        <w:pStyle w:val="Heading2"/>
        <w:spacing w:after="120" w:before="360"/>
      </w:pPr>
      <w:r>
        <w:rPr>
          <w:rFonts w:ascii="Calibri" w:cs="Calibri" w:eastAsia="Calibri" w:hAnsi="Calibri"/>
          <w:b/>
          <w:bCs/>
          <w:color w:val="0F4A2E"/>
          <w:sz w:val="28"/>
          <w:szCs w:val="28"/>
        </w:rPr>
        <w:t xml:space="preserve">7.7  Domaine 7 — Remboursements</w:t>
      </w:r>
    </w:p>
    <w:p>
      <w:pPr>
        <w:pStyle w:val="Heading3"/>
        <w:spacing w:after="100" w:before="240"/>
      </w:pPr>
      <w:r>
        <w:rPr>
          <w:rFonts w:ascii="Calibri" w:cs="Calibri" w:eastAsia="Calibri" w:hAnsi="Calibri"/>
          <w:b/>
          <w:bCs/>
          <w:color w:val="1A5D3A"/>
          <w:sz w:val="24"/>
          <w:szCs w:val="24"/>
        </w:rPr>
        <w:t xml:space="preserve">cmu_dossier_remboursement</w:t>
      </w:r>
    </w:p>
    <w:p>
      <w:pPr>
        <w:spacing w:after="120" w:before="0" w:line="300"/>
        <w:jc w:val="both"/>
      </w:pPr>
      <w:r>
        <w:rPr>
          <w:rFonts w:ascii="Calibri" w:cs="Calibri" w:eastAsia="Calibri" w:hAnsi="Calibri"/>
          <w:color w:val="2D332F"/>
          <w:sz w:val="22"/>
          <w:szCs w:val="22"/>
        </w:rPr>
        <w:t xml:space="preserve">Dossier mensuel de remboursement pour un établissement.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numero_dossier</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UNIQUE</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Ex. RBT-0001-2026-04</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etablissement_id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cmu_etablissement</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periode_mois</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CHAR(7)</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YYYY-MM</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nombre_pec</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Nombre de PEC incluses</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total_actes_gnf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 total des actes</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total_cmu_gnf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 CMU à rembourser</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total_ticket_moderateur_gnf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Collecté par l'établissement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ventilation_rgb_gnf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 CMU provenant du RGB</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ventilation_ram_gnf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 CMU provenant du RAM</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VARCHAR(32)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EN_COURS_DE_FINALISATION, SOUMIS_CAISSE, RETOURNE_POUR_COMPLEMENT, APPROUVE, APPROUVE_PARTIELLEMENT, REJETE, EN_ATTENTE_PAIEMENT, PAYE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date_cloture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Consolidation automatique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date_soumission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Soumission à la Caisse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soumis_par</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date_instruction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instruit_par</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(Caisse)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motif_retour_ou_rejet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date_paiement</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reference_virement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VARCHAR(120)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pdf_dossier_chemin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avis_paiement_chemin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VARCHAR(512)</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Contrainte : UNIQUE (etablissement_id, periode_mois). Index : (statut, periode_mois), (etablissement_id, statut).</w:t>
      </w:r>
    </w:p>
    <w:p>
      <w:pPr>
        <w:pStyle w:val="Heading3"/>
        <w:spacing w:after="100" w:before="240"/>
      </w:pPr>
      <w:r>
        <w:rPr>
          <w:rFonts w:ascii="Calibri" w:cs="Calibri" w:eastAsia="Calibri" w:hAnsi="Calibri"/>
          <w:b/>
          <w:bCs/>
          <w:color w:val="1A5D3A"/>
          <w:sz w:val="24"/>
          <w:szCs w:val="24"/>
        </w:rPr>
        <w:t xml:space="preserve">cmu_dossier_remboursement_ligne</w:t>
      </w:r>
    </w:p>
    <w:p>
      <w:pPr>
        <w:spacing w:after="120" w:before="0" w:line="300"/>
        <w:jc w:val="both"/>
      </w:pPr>
      <w:r>
        <w:rPr>
          <w:rFonts w:ascii="Calibri" w:cs="Calibri" w:eastAsia="Calibri" w:hAnsi="Calibri"/>
          <w:color w:val="2D332F"/>
          <w:sz w:val="22"/>
          <w:szCs w:val="22"/>
        </w:rPr>
        <w:t xml:space="preserve">Détail ligne à ligne d'un dossier de remboursement. Permet un rejet partiel par la Caisse.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dossier_remboursement_id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cmu_dossier_remboursement</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pec_id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cmu_prise_en_charge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montant_demande_gnf</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Part CMU de la PEC</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montant_approuve_gnf</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INTEGER</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Fixé à l'instruction Caisse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statut_ligne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INCLUSE, APPROUVEE, REJETEE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motif_rejet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bl>
    <w:p>
      <w:pPr>
        <w:spacing w:after="0"/>
      </w:pPr>
      <w:r>
        <w:rPr>
          <w:sz w:val="6"/>
          <w:szCs w:val="6"/>
        </w:rPr>
        <w:t xml:space="preserve"/>
      </w:r>
    </w:p>
    <w:p>
      <w:pPr>
        <w:pStyle w:val="Heading2"/>
        <w:spacing w:after="120" w:before="360"/>
      </w:pPr>
      <w:r>
        <w:rPr>
          <w:rFonts w:ascii="Calibri" w:cs="Calibri" w:eastAsia="Calibri" w:hAnsi="Calibri"/>
          <w:b/>
          <w:bCs/>
          <w:color w:val="0F4A2E"/>
          <w:sz w:val="28"/>
          <w:szCs w:val="28"/>
        </w:rPr>
        <w:t xml:space="preserve">7.8  Domaine 8 — Traçabilité</w:t>
      </w:r>
    </w:p>
    <w:p>
      <w:pPr>
        <w:pStyle w:val="Heading3"/>
        <w:spacing w:after="100" w:before="240"/>
      </w:pPr>
      <w:r>
        <w:rPr>
          <w:rFonts w:ascii="Calibri" w:cs="Calibri" w:eastAsia="Calibri" w:hAnsi="Calibri"/>
          <w:b/>
          <w:bCs/>
          <w:color w:val="1A5D3A"/>
          <w:sz w:val="24"/>
          <w:szCs w:val="24"/>
        </w:rPr>
        <w:t xml:space="preserve">cmu_audit_log</w:t>
      </w:r>
    </w:p>
    <w:p>
      <w:pPr>
        <w:spacing w:after="120" w:before="0" w:line="300"/>
        <w:jc w:val="both"/>
      </w:pPr>
      <w:r>
        <w:rPr>
          <w:rFonts w:ascii="Calibri" w:cs="Calibri" w:eastAsia="Calibri" w:hAnsi="Calibri"/>
          <w:color w:val="2D332F"/>
          <w:sz w:val="22"/>
          <w:szCs w:val="22"/>
        </w:rPr>
        <w:t xml:space="preserve">Journal d'audit de toutes les actions sensibles : modifications de référentiels, changements de statut, connexions administrateur, lectures de données sensibles.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horodatage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 DEFAULT now()</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utilisateur_id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(NULL si automate)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ip_source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INET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user_agent</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VARCHAR(255)</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action</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LOGIN, UPDATE, VALIDATE_DOSSIER, PUBLISH_NOMENCLATURE, …</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entite_cible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VARCHAR(48)</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Nom de la table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entite_id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 de l'entité</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details_json</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JSONB</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Avant/après pour les modifications</w:t>
            </w:r>
          </w:p>
        </w:tc>
      </w:tr>
    </w:tbl>
    <w:p>
      <w:pPr>
        <w:spacing w:after="0"/>
      </w:pPr>
      <w:r>
        <w:rPr>
          <w:sz w:val="6"/>
          <w:szCs w:val="6"/>
        </w:rPr>
        <w:t xml:space="preserve"/>
      </w:r>
    </w:p>
    <w:p>
      <w:pPr>
        <w:spacing w:after="120" w:before="0" w:line="300"/>
        <w:jc w:val="both"/>
      </w:pPr>
      <w:r>
        <w:rPr>
          <w:rFonts w:ascii="Calibri" w:cs="Calibri" w:eastAsia="Calibri" w:hAnsi="Calibri"/>
          <w:i/>
          <w:iCs/>
          <w:color w:val="2D332F"/>
          <w:sz w:val="22"/>
          <w:szCs w:val="22"/>
        </w:rPr>
        <w:t xml:space="preserve">Table INSERT-only. Partitionnement par mois (cmu_audit_log_202604, etc.) pour maintenir les performances au-delà de 12 mois d'activité.</w:t>
      </w:r>
    </w:p>
    <w:p>
      <w:pPr>
        <w:pStyle w:val="Heading3"/>
        <w:spacing w:after="100" w:before="240"/>
      </w:pPr>
      <w:r>
        <w:rPr>
          <w:rFonts w:ascii="Calibri" w:cs="Calibri" w:eastAsia="Calibri" w:hAnsi="Calibri"/>
          <w:b/>
          <w:bCs/>
          <w:color w:val="1A5D3A"/>
          <w:sz w:val="24"/>
          <w:szCs w:val="24"/>
        </w:rPr>
        <w:t xml:space="preserve">cmu_notification</w:t>
      </w:r>
    </w:p>
    <w:p>
      <w:pPr>
        <w:spacing w:after="120" w:before="0" w:line="300"/>
        <w:jc w:val="both"/>
      </w:pPr>
      <w:r>
        <w:rPr>
          <w:rFonts w:ascii="Calibri" w:cs="Calibri" w:eastAsia="Calibri" w:hAnsi="Calibri"/>
          <w:color w:val="2D332F"/>
          <w:sz w:val="22"/>
          <w:szCs w:val="22"/>
        </w:rPr>
        <w:t xml:space="preserve">Journal des notifications SMS et e-mail émises par la plateforme.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900"/>
        <w:gridCol w:w="3560"/>
      </w:tblGrid>
      <w:tr>
        <w:trPr>
          <w:tblHeader/>
        </w:trPr>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Colonne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Type</w:t>
            </w:r>
          </w:p>
        </w:tc>
        <w:tc>
          <w:tcPr>
            <w:tcW w:type="dxa" w:w="19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Contraintes</w:t>
            </w:r>
          </w:p>
        </w:tc>
        <w:tc>
          <w:tcPr>
            <w:tcW w:type="dxa" w:w="35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Description</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BIGSERIAL</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PK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canal</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VARCHAR(8)</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SMS, EMAIL</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destinataire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VARCHAR(180)</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Numéro ou e-mail</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dossier_id</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cmu_dossier (si applicable)</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utilisateur_id</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BIGINT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FK</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cmu_utilisateur (si applicable)</w:t>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type_message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VARCHAR(48)</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OTP, RAPPEL_COTISATION, SUSPENSION, ACTIVATION, …</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contenu</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TEXT</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statut_envoi</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VARCHAR(16)</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NOT NULL</w:t>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EN_ATTENTE, ENVOYE, ECHEC</w:t>
            </w:r>
          </w:p>
        </w:tc>
      </w:tr>
      <w:tr>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date_envoi</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TIMESTAMPTZ</w:t>
            </w:r>
          </w:p>
        </w:tc>
        <w:tc>
          <w:tcPr>
            <w:tcW w:type="dxa" w:w="19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r>
      <w:tr>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reference_externe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VARCHAR(64)</w:t>
            </w:r>
          </w:p>
        </w:tc>
        <w:tc>
          <w:tcPr>
            <w:tcW w:type="dxa" w:w="19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w:r>
          </w:p>
        </w:tc>
        <w:tc>
          <w:tcPr>
            <w:tcW w:type="dxa" w:w="35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Id fournisseur SMS/email</w:t>
            </w:r>
          </w:p>
        </w:tc>
      </w:tr>
    </w:tbl>
    <w:p>
      <w:pPr>
        <w:spacing w:after="0"/>
      </w:pPr>
      <w:r>
        <w:rPr>
          <w:sz w:val="6"/>
          <w:szCs w:val="6"/>
        </w:rPr>
        <w:t xml:space="preserve"/>
      </w:r>
    </w:p>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8. </w:t>
      </w:r>
      <w:r>
        <w:rPr>
          <w:rFonts w:ascii="Calibri" w:cs="Calibri" w:eastAsia="Calibri" w:hAnsi="Calibri"/>
          <w:b/>
          <w:bCs/>
          <w:color w:val="0A3622"/>
          <w:sz w:val="40"/>
          <w:szCs w:val="40"/>
        </w:rPr>
        <w:t xml:space="preserve">Matrice de droits d'accès</w:t>
      </w:r>
    </w:p>
    <w:p>
      <w:pPr>
        <w:spacing w:after="40" w:before="200"/>
      </w:pPr>
      <w:r>
        <w:rPr>
          <w:rFonts w:ascii="Calibri" w:cs="Calibri" w:eastAsia="Calibri" w:hAnsi="Calibri"/>
          <w:b/>
          <w:bCs/>
          <w:color w:val="8B6508"/>
          <w:spacing w:val="40"/>
          <w:sz w:val="16"/>
          <w:szCs w:val="16"/>
        </w:rPr>
        <w:t xml:space="preserve">Qui peut faire quoi sur quelle entité</w:t>
      </w:r>
    </w:p>
    <w:p>
      <w:pPr>
        <w:spacing w:after="120" w:before="0" w:line="300"/>
        <w:jc w:val="both"/>
      </w:pPr>
      <w:r>
        <w:rPr>
          <w:rFonts w:ascii="Calibri" w:cs="Calibri" w:eastAsia="Calibri" w:hAnsi="Calibri"/>
          <w:color w:val="2D332F"/>
          <w:sz w:val="22"/>
          <w:szCs w:val="22"/>
        </w:rPr>
        <w:t xml:space="preserve">La matrice ci-dessous formalise les droits de chaque rôle sur les principales entités de la plateforme. Elle sert de référence pour l'implémentation des Policies Laravel et des middlewares de contrôle d'accès.</w:t>
      </w:r>
    </w:p>
    <w:p>
      <w:pPr>
        <w:spacing w:after="120" w:before="0" w:line="300"/>
        <w:jc w:val="both"/>
      </w:pPr>
      <w:r>
        <w:rPr>
          <w:rFonts w:ascii="Calibri" w:cs="Calibri" w:eastAsia="Calibri" w:hAnsi="Calibri"/>
          <w:i/>
          <w:iCs/>
          <w:color w:val="2D332F"/>
          <w:sz w:val="22"/>
          <w:szCs w:val="22"/>
        </w:rPr>
        <w:t xml:space="preserve">Légende : ● autorisé — ○ non autorisé — ◐ partiel (restreint à son périmètre, voir notes).</w:t>
      </w:r>
    </w:p>
    <w:p>
      <w:pPr>
        <w:pStyle w:val="Heading2"/>
        <w:spacing w:after="120" w:before="360"/>
      </w:pPr>
      <w:r>
        <w:rPr>
          <w:rFonts w:ascii="Calibri" w:cs="Calibri" w:eastAsia="Calibri" w:hAnsi="Calibri"/>
          <w:b/>
          <w:bCs/>
          <w:color w:val="0F4A2E"/>
          <w:sz w:val="28"/>
          <w:szCs w:val="28"/>
        </w:rPr>
        <w:t xml:space="preserve">8.1  Dossiers d'adhésion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300"/>
        <w:gridCol w:w="1700"/>
        <w:gridCol w:w="1700"/>
        <w:gridCol w:w="1460"/>
      </w:tblGrid>
      <w:tr>
        <w:trPr>
          <w:tblHeader/>
        </w:trPr>
        <w:tc>
          <w:tcPr>
            <w:tcW w:type="dxa" w:w="3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13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Créer</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Modifier</w:t>
            </w:r>
          </w:p>
        </w:tc>
        <w:tc>
          <w:tcPr>
            <w:tcW w:type="dxa" w:w="14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Valider / Rejeter</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AGENT_CMU_ENROLEMENT</w:t>
            </w:r>
          </w:p>
        </w:tc>
        <w:tc>
          <w:tcPr>
            <w:tcW w:type="dxa" w:w="1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siens</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ses brouillons</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AGENT_CMU_FACTURATION</w:t>
            </w:r>
          </w:p>
        </w:tc>
        <w:tc>
          <w:tcPr>
            <w:tcW w:type="dxa" w:w="13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DIRECTEUR_ETABLISSEMENT</w:t>
            </w:r>
          </w:p>
        </w:tc>
        <w:tc>
          <w:tcPr>
            <w:tcW w:type="dxa" w:w="1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VALIDATEUR_CENTRAL</w:t>
            </w:r>
          </w:p>
        </w:tc>
        <w:tc>
          <w:tcPr>
            <w:tcW w:type="dxa" w:w="13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national (RGB)</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pendant instruction</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RGB uniquement</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AGENT_SOCIAL_RAM</w:t>
            </w:r>
          </w:p>
        </w:tc>
        <w:tc>
          <w:tcPr>
            <w:tcW w:type="dxa" w:w="1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national (RAM)</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pendant enquête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COMMISSION_RAM</w:t>
            </w:r>
          </w:p>
        </w:tc>
        <w:tc>
          <w:tcPr>
            <w:tcW w:type="dxa" w:w="13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national (RAM)</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RAM uniquement</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1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correctifs</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SUPER_ADMIN_CMU</w:t>
            </w:r>
          </w:p>
        </w:tc>
        <w:tc>
          <w:tcPr>
            <w:tcW w:type="dxa" w:w="13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8.2  Prises en charge (PEC)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400"/>
        <w:gridCol w:w="1800"/>
        <w:gridCol w:w="1300"/>
        <w:gridCol w:w="1660"/>
      </w:tblGrid>
      <w:tr>
        <w:trPr>
          <w:tblHeader/>
        </w:trPr>
        <w:tc>
          <w:tcPr>
            <w:tcW w:type="dxa" w:w="3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1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Créer</w:t>
            </w:r>
          </w:p>
        </w:tc>
        <w:tc>
          <w:tcPr>
            <w:tcW w:type="dxa" w:w="18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13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Annuler</w:t>
            </w:r>
          </w:p>
        </w:tc>
        <w:tc>
          <w:tcPr>
            <w:tcW w:type="dxa" w:w="16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Inclure remboursement</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AGENT_CMU_ENROLEMENT</w:t>
            </w:r>
          </w:p>
        </w:tc>
        <w:tc>
          <w:tcPr>
            <w:tcW w:type="dxa" w:w="1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étab.</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siennes</w:t>
            </w:r>
          </w:p>
        </w:tc>
        <w:tc>
          <w:tcPr>
            <w:tcW w:type="dxa" w:w="16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AGENT_CMU_FACTURATION</w:t>
            </w:r>
          </w:p>
        </w:tc>
        <w:tc>
          <w:tcPr>
            <w:tcW w:type="dxa" w:w="1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3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6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auto (consolidation)</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DIRECTEUR_ETABLISSEMENT</w:t>
            </w:r>
          </w:p>
        </w:tc>
        <w:tc>
          <w:tcPr>
            <w:tcW w:type="dxa" w:w="1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6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CAISSE_NATIONALE</w:t>
            </w:r>
          </w:p>
        </w:tc>
        <w:tc>
          <w:tcPr>
            <w:tcW w:type="dxa" w:w="1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national</w:t>
            </w:r>
          </w:p>
        </w:tc>
        <w:tc>
          <w:tcPr>
            <w:tcW w:type="dxa" w:w="13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6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1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3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6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8.3  Nomenclature et tarifs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500"/>
        <w:gridCol w:w="2200"/>
        <w:gridCol w:w="1460"/>
      </w:tblGrid>
      <w:tr>
        <w:trPr>
          <w:tblHeader/>
        </w:trPr>
        <w:tc>
          <w:tcPr>
            <w:tcW w:type="dxa" w:w="3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25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22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Créer brouillon</w:t>
            </w:r>
          </w:p>
        </w:tc>
        <w:tc>
          <w:tcPr>
            <w:tcW w:type="dxa" w:w="14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Publier version</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AGENT_CMU_ENROLEMENT</w:t>
            </w:r>
          </w:p>
        </w:tc>
        <w:tc>
          <w:tcPr>
            <w:tcW w:type="dxa" w:w="2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version en vigueur</w:t>
            </w:r>
          </w:p>
        </w:tc>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AGENT_CMU_FACTURATION</w:t>
            </w:r>
          </w:p>
        </w:tc>
        <w:tc>
          <w:tcPr>
            <w:tcW w:type="dxa" w:w="2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version en vigueur</w:t>
            </w:r>
          </w:p>
        </w:tc>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2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22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SUPER_ADMIN_CMU</w:t>
            </w:r>
          </w:p>
        </w:tc>
        <w:tc>
          <w:tcPr>
            <w:tcW w:type="dxa" w:w="2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22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après signature arrêté</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8.4  Établissements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1400"/>
        <w:gridCol w:w="1800"/>
        <w:gridCol w:w="1360"/>
      </w:tblGrid>
      <w:tr>
        <w:trPr>
          <w:tblHeader/>
        </w:trPr>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18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14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Créer</w:t>
            </w:r>
          </w:p>
        </w:tc>
        <w:tc>
          <w:tcPr>
            <w:tcW w:type="dxa" w:w="18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Modifier</w:t>
            </w:r>
          </w:p>
        </w:tc>
        <w:tc>
          <w:tcPr>
            <w:tcW w:type="dxa" w:w="13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Suspendre</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DIRECTEUR_ETABLISSEMENT</w:t>
            </w:r>
          </w:p>
        </w:tc>
        <w:tc>
          <w:tcPr>
            <w:tcW w:type="dxa" w:w="1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certains champs</w:t>
            </w:r>
          </w:p>
        </w:tc>
        <w:tc>
          <w:tcPr>
            <w:tcW w:type="dxa" w:w="13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SUPERVISEUR_REGIONAL</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sa région</w:t>
            </w:r>
          </w:p>
        </w:tc>
        <w:tc>
          <w:tcPr>
            <w:tcW w:type="dxa" w:w="1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1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3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SUPER_ADMIN_CMU</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8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3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bl>
    <w:p>
      <w:pPr>
        <w:spacing w:after="0"/>
      </w:pPr>
      <w:r>
        <w:rPr>
          <w:sz w:val="8"/>
          <w:szCs w:val="8"/>
        </w:rPr>
        <w:t xml:space="preserve"/>
      </w:r>
    </w:p>
    <w:p>
      <w:pPr>
        <w:pStyle w:val="Heading2"/>
        <w:spacing w:after="120" w:before="360"/>
      </w:pPr>
      <w:r>
        <w:rPr>
          <w:rFonts w:ascii="Calibri" w:cs="Calibri" w:eastAsia="Calibri" w:hAnsi="Calibri"/>
          <w:b/>
          <w:bCs/>
          <w:color w:val="0F4A2E"/>
          <w:sz w:val="28"/>
          <w:szCs w:val="28"/>
        </w:rPr>
        <w:t xml:space="preserve">8.5  Dossiers de remboursement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500"/>
        <w:gridCol w:w="1700"/>
        <w:gridCol w:w="1700"/>
        <w:gridCol w:w="1460"/>
      </w:tblGrid>
      <w:tr>
        <w:trPr>
          <w:tblHeader/>
        </w:trPr>
        <w:tc>
          <w:tcPr>
            <w:tcW w:type="dxa" w:w="30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Rôle</w:t>
            </w:r>
          </w:p>
        </w:tc>
        <w:tc>
          <w:tcPr>
            <w:tcW w:type="dxa" w:w="15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Consulter</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Soumettre</w:t>
            </w:r>
          </w:p>
        </w:tc>
        <w:tc>
          <w:tcPr>
            <w:tcW w:type="dxa" w:w="170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Instruire</w:t>
            </w:r>
          </w:p>
        </w:tc>
        <w:tc>
          <w:tcPr>
            <w:tcW w:type="dxa" w:w="1460"/>
            <w:tcBorders>
              <w:top w:val="single" w:color="E5E5E0" w:sz="4"/>
              <w:left w:val="single" w:color="E5E5E0" w:sz="4"/>
              <w:bottom w:val="single" w:color="E5E5E0" w:sz="4"/>
              <w:right w:val="single" w:color="E5E5E0" w:sz="4"/>
            </w:tcBorders>
            <w:shd w:fill="0F4A2E" w:val="clear"/>
            <w:tcMar>
              <w:top w:type="dxa" w:w="100"/>
              <w:left w:type="dxa" w:w="140"/>
              <w:bottom w:type="dxa" w:w="100"/>
              <w:right w:type="dxa" w:w="140"/>
            </w:tcMar>
          </w:tcPr>
          <w:p>
            <w:pPr>
              <w:spacing w:after="0"/>
            </w:pPr>
            <w:r>
              <w:rPr>
                <w:rFonts w:ascii="Calibri" w:cs="Calibri" w:eastAsia="Calibri" w:hAnsi="Calibri"/>
                <w:b/>
                <w:bCs/>
                <w:color w:val="FFFFFF"/>
                <w:spacing w:val="30"/>
                <w:sz w:val="18"/>
                <w:szCs w:val="18"/>
              </w:rPr>
              <w:t xml:space="preserve">Ordonnancer paiement</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AGENT_CMU_FACTURATION</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DIRECTEUR_ETABLISSEMENT</w:t>
            </w:r>
          </w:p>
        </w:tc>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son étab.</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CAISSE_NATIONALE</w:t>
            </w:r>
          </w:p>
        </w:tc>
        <w:tc>
          <w:tcPr>
            <w:tcW w:type="dxa" w:w="15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 national</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FFFFF"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r>
        <w:tc>
          <w:tcPr>
            <w:tcW w:type="dxa" w:w="30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ADMIN_CMU</w:t>
            </w:r>
          </w:p>
        </w:tc>
        <w:tc>
          <w:tcPr>
            <w:tcW w:type="dxa" w:w="15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70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c>
          <w:tcPr>
            <w:tcW w:type="dxa" w:w="1460"/>
            <w:tcBorders>
              <w:top w:val="single" w:color="E5E5E0" w:sz="4"/>
              <w:left w:val="single" w:color="E5E5E0" w:sz="4"/>
              <w:bottom w:val="single" w:color="E5E5E0" w:sz="4"/>
              <w:right w:val="single" w:color="E5E5E0" w:sz="4"/>
            </w:tcBorders>
            <w:shd w:fill="F7F7F4" w:val="clear"/>
            <w:tcMar>
              <w:top w:type="dxa" w:w="90"/>
              <w:left w:type="dxa" w:w="140"/>
              <w:bottom w:type="dxa" w:w="90"/>
              <w:right w:type="dxa" w:w="140"/>
            </w:tcMar>
          </w:tcPr>
          <w:p>
            <w:pPr>
              <w:spacing w:after="0" w:line="260"/>
            </w:pPr>
            <w:r>
              <w:rPr>
                <w:rFonts w:ascii="Calibri" w:cs="Calibri" w:eastAsia="Calibri" w:hAnsi="Calibri"/>
                <w:color w:val="2D332F"/>
                <w:sz w:val="20"/>
                <w:szCs w:val="20"/>
              </w:rPr>
              <w:t xml:space="preserve">○</w:t>
            </w:r>
          </w:p>
        </w:tc>
      </w:tr>
    </w:tbl>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9. </w:t>
      </w:r>
      <w:r>
        <w:rPr>
          <w:rFonts w:ascii="Calibri" w:cs="Calibri" w:eastAsia="Calibri" w:hAnsi="Calibri"/>
          <w:b/>
          <w:bCs/>
          <w:color w:val="0A3622"/>
          <w:sz w:val="40"/>
          <w:szCs w:val="40"/>
        </w:rPr>
        <w:t xml:space="preserve">Intégration avec le SIH e-MSanté</w:t>
      </w:r>
    </w:p>
    <w:p>
      <w:pPr>
        <w:spacing w:after="40" w:before="200"/>
      </w:pPr>
      <w:r>
        <w:rPr>
          <w:rFonts w:ascii="Calibri" w:cs="Calibri" w:eastAsia="Calibri" w:hAnsi="Calibri"/>
          <w:b/>
          <w:bCs/>
          <w:color w:val="8B6508"/>
          <w:spacing w:val="40"/>
          <w:sz w:val="16"/>
          <w:szCs w:val="16"/>
        </w:rPr>
        <w:t xml:space="preserve">Architecture multi-bases et API internes</w:t>
      </w:r>
    </w:p>
    <w:p>
      <w:pPr>
        <w:spacing w:after="120" w:before="0" w:line="300"/>
        <w:jc w:val="both"/>
      </w:pPr>
      <w:r>
        <w:rPr>
          <w:rFonts w:ascii="Calibri" w:cs="Calibri" w:eastAsia="Calibri" w:hAnsi="Calibri"/>
          <w:color w:val="2D332F"/>
          <w:sz w:val="22"/>
          <w:szCs w:val="22"/>
        </w:rPr>
        <w:t xml:space="preserve">La plateforme CMU s'insère dans l'écosystème technique existant de MSanté, sans créer de duplication de données. L'approche retenue privilégie une base dédiée pgsql_cmu pour les entités métier CMU, articulée avec les bases existantes via des identifiants logiques et des API internes.</w:t>
      </w:r>
    </w:p>
    <w:p>
      <w:pPr>
        <w:pStyle w:val="Heading2"/>
        <w:spacing w:after="120" w:before="360"/>
      </w:pPr>
      <w:r>
        <w:rPr>
          <w:rFonts w:ascii="Calibri" w:cs="Calibri" w:eastAsia="Calibri" w:hAnsi="Calibri"/>
          <w:b/>
          <w:bCs/>
          <w:color w:val="0F4A2E"/>
          <w:sz w:val="28"/>
          <w:szCs w:val="28"/>
        </w:rPr>
        <w:t xml:space="preserve">9.1  Architecture multi-bases</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w:t>
            </w:r>
          </w:p>
          <w:p>
            <w:pPr>
              <w:spacing w:after="20" w:before="0" w:line="260"/>
            </w:pPr>
            <w:r>
              <w:rPr>
                <w:rFonts w:ascii="Consolas" w:cs="Consolas" w:eastAsia="Consolas" w:hAnsi="Consolas"/>
                <w:color w:val="0A3622"/>
                <w:sz w:val="18"/>
                <w:szCs w:val="18"/>
              </w:rPr>
              <w:t xml:space="preserve">│              APPLICATION LARAVEL                     │</w:t>
            </w:r>
          </w:p>
          <w:p>
            <w:pPr>
              <w:spacing w:after="20" w:before="0" w:line="260"/>
            </w:pPr>
            <w:r>
              <w:rPr>
                <w:rFonts w:ascii="Consolas" w:cs="Consolas" w:eastAsia="Consolas" w:hAnsi="Consolas"/>
                <w:color w:val="0A3622"/>
                <w:sz w:val="18"/>
                <w:szCs w:val="18"/>
              </w:rPr>
              <w:t xml:space="preserve">│          (Livewire 3 + Alpine.js + Tailwind)         │</w:t>
            </w:r>
          </w:p>
          <w:p>
            <w:pPr>
              <w:spacing w:after="20" w:before="0" w:line="260"/>
            </w:pPr>
            <w:r>
              <w:rPr>
                <w:rFonts w:ascii="Consolas" w:cs="Consolas" w:eastAsia="Consolas" w:hAnsi="Consolas"/>
                <w:color w:val="0A3622"/>
                <w:sz w:val="18"/>
                <w:szCs w:val="18"/>
              </w:rPr>
              <w:t xml:space="preserve">└───┬────────────┬────────────┬─────────────┬──────────┘</w:t>
            </w:r>
          </w:p>
          <w:p>
            <w:pPr>
              <w:spacing w:after="20" w:before="0" w:line="260"/>
            </w:pPr>
            <w:r>
              <w:rPr>
                <w:rFonts w:ascii="Consolas" w:cs="Consolas" w:eastAsia="Consolas" w:hAnsi="Consolas"/>
                <w:color w:val="0A3622"/>
                <w:sz w:val="18"/>
                <w:szCs w:val="18"/>
              </w:rPr>
              <w:t xml:space="preserve">    │            │            │             │</w:t>
            </w:r>
          </w:p>
          <w:p>
            <w:pPr>
              <w:spacing w:after="20" w:before="0" w:line="260"/>
            </w:pPr>
            <w:r>
              <w:rPr>
                <w:rFonts w:ascii="Consolas" w:cs="Consolas" w:eastAsia="Consolas" w:hAnsi="Consolas"/>
                <w:color w:val="0A3622"/>
                <w:sz w:val="18"/>
                <w:szCs w:val="18"/>
              </w:rPr>
              <w:t xml:space="preserve">    ▼            ▼            ▼             ▼</w:t>
            </w:r>
          </w:p>
          <w:p>
            <w:pPr>
              <w:spacing w:after="20" w:before="0" w:line="260"/>
            </w:pPr>
            <w:r>
              <w:rPr>
                <w:rFonts w:ascii="Consolas" w:cs="Consolas" w:eastAsia="Consolas" w:hAnsi="Consolas"/>
                <w:color w:val="0A3622"/>
                <w:sz w:val="18"/>
                <w:szCs w:val="18"/>
              </w:rPr>
              <w:t xml:space="preserve">┌────────┐  ┌──────────┐  ┌─────────┐  ┌──────────┐</w:t>
            </w:r>
          </w:p>
          <w:p>
            <w:pPr>
              <w:spacing w:after="20" w:before="0" w:line="260"/>
            </w:pPr>
            <w:r>
              <w:rPr>
                <w:rFonts w:ascii="Consolas" w:cs="Consolas" w:eastAsia="Consolas" w:hAnsi="Consolas"/>
                <w:color w:val="0A3622"/>
                <w:sz w:val="18"/>
                <w:szCs w:val="18"/>
              </w:rPr>
              <w:t xml:space="preserve">│pgsql_  │  │pgsql_    │  │pgsql_   │  │pgsql_    │</w:t>
            </w:r>
          </w:p>
          <w:p>
            <w:pPr>
              <w:spacing w:after="20" w:before="0" w:line="260"/>
            </w:pPr>
            <w:r>
              <w:rPr>
                <w:rFonts w:ascii="Consolas" w:cs="Consolas" w:eastAsia="Consolas" w:hAnsi="Consolas"/>
                <w:color w:val="0A3622"/>
                <w:sz w:val="18"/>
                <w:szCs w:val="18"/>
              </w:rPr>
              <w:t xml:space="preserve">│cmu     │  │santepro  │  │rngps    │  │laboratoire│</w:t>
            </w:r>
          </w:p>
          <w:p>
            <w:pPr>
              <w:spacing w:after="20" w:before="0" w:line="260"/>
            </w:pPr>
            <w:r>
              <w:rPr>
                <w:rFonts w:ascii="Consolas" w:cs="Consolas" w:eastAsia="Consolas" w:hAnsi="Consolas"/>
                <w:color w:val="0A3622"/>
                <w:sz w:val="18"/>
                <w:szCs w:val="18"/>
              </w:rPr>
              <w:t xml:space="preserve">│        │  │          │  │         │  │          │</w:t>
            </w:r>
          </w:p>
          <w:p>
            <w:pPr>
              <w:spacing w:after="20" w:before="0" w:line="260"/>
            </w:pPr>
            <w:r>
              <w:rPr>
                <w:rFonts w:ascii="Consolas" w:cs="Consolas" w:eastAsia="Consolas" w:hAnsi="Consolas"/>
                <w:color w:val="0A3622"/>
                <w:sz w:val="18"/>
                <w:szCs w:val="18"/>
              </w:rPr>
              <w:t xml:space="preserve">│Plate-  │  │Dossier   │  │Registre │  │Résultats │</w:t>
            </w:r>
          </w:p>
          <w:p>
            <w:pPr>
              <w:spacing w:after="20" w:before="0" w:line="260"/>
            </w:pPr>
            <w:r>
              <w:rPr>
                <w:rFonts w:ascii="Consolas" w:cs="Consolas" w:eastAsia="Consolas" w:hAnsi="Consolas"/>
                <w:color w:val="0A3622"/>
                <w:sz w:val="18"/>
                <w:szCs w:val="18"/>
              </w:rPr>
              <w:t xml:space="preserve">│forme   │  │médical   │  │médecins │  │analyses  │</w:t>
            </w:r>
          </w:p>
          <w:p>
            <w:pPr>
              <w:spacing w:after="20" w:before="0" w:line="260"/>
            </w:pPr>
            <w:r>
              <w:rPr>
                <w:rFonts w:ascii="Consolas" w:cs="Consolas" w:eastAsia="Consolas" w:hAnsi="Consolas"/>
                <w:color w:val="0A3622"/>
                <w:sz w:val="18"/>
                <w:szCs w:val="18"/>
              </w:rPr>
              <w:t xml:space="preserve">│CMU     │  │partagé   │  │pharm.   │  │          │</w:t>
            </w:r>
          </w:p>
          <w:p>
            <w:pPr>
              <w:spacing w:after="20" w:before="0" w:line="260"/>
            </w:pPr>
            <w:r>
              <w:rPr>
                <w:rFonts w:ascii="Consolas" w:cs="Consolas" w:eastAsia="Consolas" w:hAnsi="Consolas"/>
                <w:color w:val="0A3622"/>
                <w:sz w:val="18"/>
                <w:szCs w:val="18"/>
              </w:rPr>
              <w:t xml:space="preserve">└────────┘  └──────────┘  └─────────┘  └──────────┘</w:t>
            </w:r>
          </w:p>
        </w:tc>
      </w:tr>
    </w:tbl>
    <w:p>
      <w:pPr>
        <w:spacing w:after="0"/>
      </w:pPr>
      <w:r>
        <w:rPr>
          <w:sz w:val="4"/>
          <w:szCs w:val="4"/>
        </w:rPr>
        <w:t xml:space="preserve"/>
      </w:r>
    </w:p>
    <w:p>
      <w:pPr>
        <w:pStyle w:val="Heading2"/>
        <w:spacing w:after="120" w:before="360"/>
      </w:pPr>
      <w:r>
        <w:rPr>
          <w:rFonts w:ascii="Calibri" w:cs="Calibri" w:eastAsia="Calibri" w:hAnsi="Calibri"/>
          <w:b/>
          <w:bCs/>
          <w:color w:val="0F4A2E"/>
          <w:sz w:val="28"/>
          <w:szCs w:val="28"/>
        </w:rPr>
        <w:t xml:space="preserve">9.2  Clés de jointure cross-database</w:t>
      </w:r>
    </w:p>
    <w:p>
      <w:pPr>
        <w:spacing w:after="120" w:before="0" w:line="300"/>
        <w:jc w:val="both"/>
      </w:pPr>
      <w:r>
        <w:rPr>
          <w:rFonts w:ascii="Calibri" w:cs="Calibri" w:eastAsia="Calibri" w:hAnsi="Calibri"/>
          <w:color w:val="2D332F"/>
          <w:sz w:val="22"/>
          <w:szCs w:val="22"/>
        </w:rPr>
        <w:t xml:space="preserve">Les tables de pgsql_cmu référençant des entités d'autres bases utilisent des colonnes suffixées _id_externe ou préfixées id_*_externe :</w:t>
      </w:r>
    </w:p>
    <w:p>
      <w:pPr>
        <w:pStyle w:val="ListParagraph"/>
        <w:numPr>
          <w:ilvl w:val="0"/>
          <w:numId w:val="2"/>
        </w:numPr>
        <w:spacing w:after="40" w:before="40" w:line="280"/>
      </w:pPr>
      <w:r>
        <w:rPr>
          <w:rFonts w:ascii="Calibri" w:cs="Calibri" w:eastAsia="Calibri" w:hAnsi="Calibri"/>
          <w:b/>
          <w:bCs/>
          <w:color w:val="0F4A2E"/>
          <w:sz w:val="22"/>
          <w:szCs w:val="22"/>
        </w:rPr>
        <w:t xml:space="preserve">cmu_etablissement.id_etablissement_santepro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FK logique vers pgsql_santepro.etablissement.id_etablissement</w:t>
      </w:r>
    </w:p>
    <w:p>
      <w:pPr>
        <w:pStyle w:val="ListParagraph"/>
        <w:numPr>
          <w:ilvl w:val="0"/>
          <w:numId w:val="2"/>
        </w:numPr>
        <w:spacing w:after="40" w:before="40" w:line="280"/>
      </w:pPr>
      <w:r>
        <w:rPr>
          <w:rFonts w:ascii="Calibri" w:cs="Calibri" w:eastAsia="Calibri" w:hAnsi="Calibri"/>
          <w:b/>
          <w:bCs/>
          <w:color w:val="0F4A2E"/>
          <w:sz w:val="22"/>
          <w:szCs w:val="22"/>
        </w:rPr>
        <w:t xml:space="preserve">cmu_utilisateur.id_utilisateur_santepro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FK logique vers pgsql_santepro.utilisateur.id_utilisateur (pour unifier les comptes)</w:t>
      </w:r>
    </w:p>
    <w:p>
      <w:pPr>
        <w:pStyle w:val="ListParagraph"/>
        <w:numPr>
          <w:ilvl w:val="0"/>
          <w:numId w:val="2"/>
        </w:numPr>
        <w:spacing w:after="40" w:before="40" w:line="280"/>
      </w:pPr>
      <w:r>
        <w:rPr>
          <w:rFonts w:ascii="Calibri" w:cs="Calibri" w:eastAsia="Calibri" w:hAnsi="Calibri"/>
          <w:b/>
          <w:bCs/>
          <w:color w:val="0F4A2E"/>
          <w:sz w:val="22"/>
          <w:szCs w:val="22"/>
        </w:rPr>
        <w:t xml:space="preserve">cmu_prise_en_charge.id_consultation_santepro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FK logique vers pgsql_santepro.consultation.id_consultation</w:t>
      </w:r>
    </w:p>
    <w:p>
      <w:pPr>
        <w:spacing w:after="120" w:before="0" w:line="300"/>
        <w:jc w:val="both"/>
      </w:pPr>
      <w:r>
        <w:rPr>
          <w:rFonts w:ascii="Calibri" w:cs="Calibri" w:eastAsia="Calibri" w:hAnsi="Calibri"/>
          <w:color w:val="2D332F"/>
          <w:sz w:val="22"/>
          <w:szCs w:val="22"/>
        </w:rPr>
        <w:t xml:space="preserve">Ces liens ne sont pas matérialisés par des FK PostgreSQL (interdites cross-database), mais validés applicativement via des services Laravel dédiés. Les jointures logiques utilisent DB::connection('santepro')-&gt;table('...') dans les requêtes.</w:t>
      </w:r>
    </w:p>
    <w:p>
      <w:pPr>
        <w:pStyle w:val="Heading2"/>
        <w:spacing w:after="120" w:before="360"/>
      </w:pPr>
      <w:r>
        <w:rPr>
          <w:rFonts w:ascii="Calibri" w:cs="Calibri" w:eastAsia="Calibri" w:hAnsi="Calibri"/>
          <w:b/>
          <w:bCs/>
          <w:color w:val="0F4A2E"/>
          <w:sz w:val="28"/>
          <w:szCs w:val="28"/>
        </w:rPr>
        <w:t xml:space="preserve">9.3  API interne d'éligibilité</w:t>
      </w:r>
    </w:p>
    <w:p>
      <w:pPr>
        <w:spacing w:after="120" w:before="0" w:line="300"/>
        <w:jc w:val="both"/>
      </w:pPr>
      <w:r>
        <w:rPr>
          <w:rFonts w:ascii="Calibri" w:cs="Calibri" w:eastAsia="Calibri" w:hAnsi="Calibri"/>
          <w:color w:val="2D332F"/>
          <w:sz w:val="22"/>
          <w:szCs w:val="22"/>
        </w:rPr>
        <w:t xml:space="preserve">Le module CMU expose un service Laravel interne CmuEligibiliteService consommé par les autres modules MSanté. Il retourne en temps réel le statut CMU d'un IUS donné.</w:t>
      </w:r>
    </w:p>
    <w:tbl>
      <w:tblPr>
        <w:tblW w:type="dxa" w:w="9360"/>
        <w:tblBorders>
          <w:top w:val="single" w:color="E8F0EA" w:sz="4"/>
          <w:left w:val="single" w:color="1A5D3A" w:sz="24"/>
          <w:bottom w:val="single" w:color="E8F0EA" w:sz="4"/>
          <w:right w:val="single" w:color="E8F0EA" w:sz="4"/>
          <w:insideH w:val="none" w:color="FFFFFF" w:sz="0"/>
          <w:insideV w:val="none" w:color="FFFFFF" w:sz="0"/>
        </w:tblBorders>
      </w:tblPr>
      <w:tblGrid>
        <w:gridCol w:w="9360"/>
      </w:tblGrid>
      <w:tr>
        <w:tc>
          <w:tcPr>
            <w:tcW w:type="dxa" w:w="9360"/>
            <w:shd w:fill="F3F7F4" w:val="clear"/>
            <w:tcMar>
              <w:top w:type="dxa" w:w="160"/>
              <w:left w:type="dxa" w:w="220"/>
              <w:bottom w:type="dxa" w:w="160"/>
              <w:right w:type="dxa" w:w="220"/>
            </w:tcMar>
          </w:tcPr>
          <w:p>
            <w:pPr>
              <w:spacing w:after="20" w:before="0" w:line="260"/>
            </w:pPr>
            <w:r>
              <w:rPr>
                <w:rFonts w:ascii="Consolas" w:cs="Consolas" w:eastAsia="Consolas" w:hAnsi="Consolas"/>
                <w:color w:val="0A3622"/>
                <w:sz w:val="18"/>
                <w:szCs w:val="18"/>
              </w:rPr>
              <w:t xml:space="preserve">// Service Laravel</w:t>
            </w:r>
          </w:p>
          <w:p>
            <w:pPr>
              <w:spacing w:after="20" w:before="0" w:line="260"/>
            </w:pPr>
            <w:r>
              <w:rPr>
                <w:rFonts w:ascii="Consolas" w:cs="Consolas" w:eastAsia="Consolas" w:hAnsi="Consolas"/>
                <w:color w:val="0A3622"/>
                <w:sz w:val="18"/>
                <w:szCs w:val="18"/>
              </w:rPr>
              <w:t xml:space="preserve">class CmuEligibiliteService {</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public function verifier(string $ius): EligibiliteDTO</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$dossier = DB::select("</w:t>
            </w:r>
          </w:p>
          <w:p>
            <w:pPr>
              <w:spacing w:after="20" w:before="0" w:line="260"/>
            </w:pPr>
            <w:r>
              <w:rPr>
                <w:rFonts w:ascii="Consolas" w:cs="Consolas" w:eastAsia="Consolas" w:hAnsi="Consolas"/>
                <w:color w:val="0A3622"/>
                <w:sz w:val="18"/>
                <w:szCs w:val="18"/>
              </w:rPr>
              <w:t xml:space="preserve">            SELECT d.id, d.ius, d.regime, d.statut,</w:t>
            </w:r>
          </w:p>
          <w:p>
            <w:pPr>
              <w:spacing w:after="20" w:before="0" w:line="260"/>
            </w:pPr>
            <w:r>
              <w:rPr>
                <w:rFonts w:ascii="Consolas" w:cs="Consolas" w:eastAsia="Consolas" w:hAnsi="Consolas"/>
                <w:color w:val="0A3622"/>
                <w:sz w:val="18"/>
                <w:szCs w:val="18"/>
              </w:rPr>
              <w:t xml:space="preserve">                   d.nombre_echecs_cotisation, d.date_activation,</w:t>
            </w:r>
          </w:p>
          <w:p>
            <w:pPr>
              <w:spacing w:after="20" w:before="0" w:line="260"/>
            </w:pPr>
            <w:r>
              <w:rPr>
                <w:rFonts w:ascii="Consolas" w:cs="Consolas" w:eastAsia="Consolas" w:hAnsi="Consolas"/>
                <w:color w:val="0A3622"/>
                <w:sz w:val="18"/>
                <w:szCs w:val="18"/>
              </w:rPr>
              <w:t xml:space="preserve">                   p.code AS profil_code, p.libelle AS profil_libelle,</w:t>
            </w:r>
          </w:p>
          <w:p>
            <w:pPr>
              <w:spacing w:after="20" w:before="0" w:line="260"/>
            </w:pPr>
            <w:r>
              <w:rPr>
                <w:rFonts w:ascii="Consolas" w:cs="Consolas" w:eastAsia="Consolas" w:hAnsi="Consolas"/>
                <w:color w:val="0A3622"/>
                <w:sz w:val="18"/>
                <w:szCs w:val="18"/>
              </w:rPr>
              <w:t xml:space="preserve">                   e.code AS etab_code, e.nom_officiel AS etab_nom</w:t>
            </w:r>
          </w:p>
          <w:p>
            <w:pPr>
              <w:spacing w:after="20" w:before="0" w:line="260"/>
            </w:pPr>
            <w:r>
              <w:rPr>
                <w:rFonts w:ascii="Consolas" w:cs="Consolas" w:eastAsia="Consolas" w:hAnsi="Consolas"/>
                <w:color w:val="0A3622"/>
                <w:sz w:val="18"/>
                <w:szCs w:val="18"/>
              </w:rPr>
              <w:t xml:space="preserve">              FROM cmu_dossier d</w:t>
            </w:r>
          </w:p>
          <w:p>
            <w:pPr>
              <w:spacing w:after="20" w:before="0" w:line="260"/>
            </w:pPr>
            <w:r>
              <w:rPr>
                <w:rFonts w:ascii="Consolas" w:cs="Consolas" w:eastAsia="Consolas" w:hAnsi="Consolas"/>
                <w:color w:val="0A3622"/>
                <w:sz w:val="18"/>
                <w:szCs w:val="18"/>
              </w:rPr>
              <w:t xml:space="preserve">              LEFT JOIN cmu_profil_cotisant p ON p.id = d.profil_cotisant_id</w:t>
            </w:r>
          </w:p>
          <w:p>
            <w:pPr>
              <w:spacing w:after="20" w:before="0" w:line="260"/>
            </w:pPr>
            <w:r>
              <w:rPr>
                <w:rFonts w:ascii="Consolas" w:cs="Consolas" w:eastAsia="Consolas" w:hAnsi="Consolas"/>
                <w:color w:val="0A3622"/>
                <w:sz w:val="18"/>
                <w:szCs w:val="18"/>
              </w:rPr>
              <w:t xml:space="preserve">              JOIN cmu_etablissement e ON e.id = d.etablissement_enrolement_id</w:t>
            </w:r>
          </w:p>
          <w:p>
            <w:pPr>
              <w:spacing w:after="20" w:before="0" w:line="260"/>
            </w:pPr>
            <w:r>
              <w:rPr>
                <w:rFonts w:ascii="Consolas" w:cs="Consolas" w:eastAsia="Consolas" w:hAnsi="Consolas"/>
                <w:color w:val="0A3622"/>
                <w:sz w:val="18"/>
                <w:szCs w:val="18"/>
              </w:rPr>
              <w:t xml:space="preserve">             WHERE d.ius = ?</w:t>
            </w:r>
          </w:p>
          <w:p>
            <w:pPr>
              <w:spacing w:after="20" w:before="0" w:line="260"/>
            </w:pPr>
            <w:r>
              <w:rPr>
                <w:rFonts w:ascii="Consolas" w:cs="Consolas" w:eastAsia="Consolas" w:hAnsi="Consolas"/>
                <w:color w:val="0A3622"/>
                <w:sz w:val="18"/>
                <w:szCs w:val="18"/>
              </w:rPr>
              <w:t xml:space="preserve">        ", [$ius]);</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        return EligibiliteDTO::fromQuery($dossier);</w:t>
            </w:r>
          </w:p>
          <w:p>
            <w:pPr>
              <w:spacing w:after="20" w:before="0" w:line="260"/>
            </w:pPr>
            <w:r>
              <w:rPr>
                <w:rFonts w:ascii="Consolas" w:cs="Consolas" w:eastAsia="Consolas" w:hAnsi="Consolas"/>
                <w:color w:val="0A3622"/>
                <w:sz w:val="18"/>
                <w:szCs w:val="18"/>
              </w:rPr>
              <w:t xml:space="preserve">    }</w:t>
            </w:r>
          </w:p>
          <w:p>
            <w:pPr>
              <w:spacing w:after="20" w:before="0" w:line="260"/>
            </w:pPr>
            <w:r>
              <w:rPr>
                <w:rFonts w:ascii="Consolas" w:cs="Consolas" w:eastAsia="Consolas" w:hAnsi="Consolas"/>
                <w:color w:val="0A3622"/>
                <w:sz w:val="18"/>
                <w:szCs w:val="18"/>
              </w:rPr>
              <w:t xml:space="preserve">}</w:t>
            </w:r>
          </w:p>
        </w:tc>
      </w:tr>
    </w:tbl>
    <w:p>
      <w:pPr>
        <w:spacing w:after="0"/>
      </w:pPr>
      <w:r>
        <w:rPr>
          <w:sz w:val="4"/>
          <w:szCs w:val="4"/>
        </w:rPr>
        <w:t xml:space="preserve"/>
      </w:r>
    </w:p>
    <w:p>
      <w:pPr>
        <w:pStyle w:val="Heading2"/>
        <w:spacing w:after="120" w:before="360"/>
      </w:pPr>
      <w:r>
        <w:rPr>
          <w:rFonts w:ascii="Calibri" w:cs="Calibri" w:eastAsia="Calibri" w:hAnsi="Calibri"/>
          <w:b/>
          <w:bCs/>
          <w:color w:val="0F4A2E"/>
          <w:sz w:val="28"/>
          <w:szCs w:val="28"/>
        </w:rPr>
        <w:t xml:space="preserve">9.4  Remontée des actes depuis le SIH</w:t>
      </w:r>
    </w:p>
    <w:p>
      <w:pPr>
        <w:spacing w:after="120" w:before="0" w:line="300"/>
        <w:jc w:val="both"/>
      </w:pPr>
      <w:r>
        <w:rPr>
          <w:rFonts w:ascii="Calibri" w:cs="Calibri" w:eastAsia="Calibri" w:hAnsi="Calibri"/>
          <w:color w:val="2D332F"/>
          <w:sz w:val="22"/>
          <w:szCs w:val="22"/>
        </w:rPr>
        <w:t xml:space="preserve">Pour les établissements dotés d'un SIH MSanté complet, les actes effectués (consultations, examens, prescriptions) remontent automatiquement dans la plateforme CMU via un listener Laravel écoutant les événements du SIH :</w:t>
      </w:r>
    </w:p>
    <w:p>
      <w:pPr>
        <w:pStyle w:val="ListParagraph"/>
        <w:numPr>
          <w:ilvl w:val="0"/>
          <w:numId w:val="3"/>
        </w:numPr>
        <w:spacing w:after="40" w:before="40" w:line="280"/>
      </w:pPr>
      <w:r>
        <w:rPr>
          <w:rFonts w:ascii="Calibri" w:cs="Calibri" w:eastAsia="Calibri" w:hAnsi="Calibri"/>
          <w:color w:val="2D332F"/>
          <w:sz w:val="22"/>
          <w:szCs w:val="22"/>
        </w:rPr>
        <w:t xml:space="preserve">Un acte est enregistré dans pgsql_santepro au moment de sa réalisation.</w:t>
      </w:r>
    </w:p>
    <w:p>
      <w:pPr>
        <w:pStyle w:val="ListParagraph"/>
        <w:numPr>
          <w:ilvl w:val="0"/>
          <w:numId w:val="3"/>
        </w:numPr>
        <w:spacing w:after="40" w:before="40" w:line="280"/>
      </w:pPr>
      <w:r>
        <w:rPr>
          <w:rFonts w:ascii="Calibri" w:cs="Calibri" w:eastAsia="Calibri" w:hAnsi="Calibri"/>
          <w:color w:val="2D332F"/>
          <w:sz w:val="22"/>
          <w:szCs w:val="22"/>
        </w:rPr>
        <w:t xml:space="preserve">Un event ActeCree est dispatché.</w:t>
      </w:r>
    </w:p>
    <w:p>
      <w:pPr>
        <w:pStyle w:val="ListParagraph"/>
        <w:numPr>
          <w:ilvl w:val="0"/>
          <w:numId w:val="3"/>
        </w:numPr>
        <w:spacing w:after="40" w:before="40" w:line="280"/>
      </w:pPr>
      <w:r>
        <w:rPr>
          <w:rFonts w:ascii="Calibri" w:cs="Calibri" w:eastAsia="Calibri" w:hAnsi="Calibri"/>
          <w:color w:val="2D332F"/>
          <w:sz w:val="22"/>
          <w:szCs w:val="22"/>
        </w:rPr>
        <w:t xml:space="preserve">Le listener CmuActeListener vérifie si le patient a un dossier CMU actif.</w:t>
      </w:r>
    </w:p>
    <w:p>
      <w:pPr>
        <w:pStyle w:val="ListParagraph"/>
        <w:numPr>
          <w:ilvl w:val="0"/>
          <w:numId w:val="3"/>
        </w:numPr>
        <w:spacing w:after="40" w:before="40" w:line="280"/>
      </w:pPr>
      <w:r>
        <w:rPr>
          <w:rFonts w:ascii="Calibri" w:cs="Calibri" w:eastAsia="Calibri" w:hAnsi="Calibri"/>
          <w:color w:val="2D332F"/>
          <w:sz w:val="22"/>
          <w:szCs w:val="22"/>
        </w:rPr>
        <w:t xml:space="preserve">Si oui, une PEC (ou une ligne complémentaire sur une PEC ouverte) est créée dans cmu_prise_en_charge.</w:t>
      </w:r>
    </w:p>
    <w:p>
      <w:pPr>
        <w:pStyle w:val="ListParagraph"/>
        <w:numPr>
          <w:ilvl w:val="0"/>
          <w:numId w:val="3"/>
        </w:numPr>
        <w:spacing w:after="40" w:before="40" w:line="280"/>
      </w:pPr>
      <w:r>
        <w:rPr>
          <w:rFonts w:ascii="Calibri" w:cs="Calibri" w:eastAsia="Calibri" w:hAnsi="Calibri"/>
          <w:color w:val="2D332F"/>
          <w:sz w:val="22"/>
          <w:szCs w:val="22"/>
        </w:rPr>
        <w:t xml:space="preserve">Les montants sont calculés selon la grille tarifaire et le régime du bénéficiaire.</w:t>
      </w:r>
    </w:p>
    <w:p>
      <w:pPr>
        <w:spacing w:after="120" w:before="0" w:line="300"/>
        <w:jc w:val="both"/>
      </w:pPr>
      <w:r>
        <w:rPr>
          <w:rFonts w:ascii="Calibri" w:cs="Calibri" w:eastAsia="Calibri" w:hAnsi="Calibri"/>
          <w:color w:val="2D332F"/>
          <w:sz w:val="22"/>
          <w:szCs w:val="22"/>
        </w:rPr>
        <w:t xml:space="preserve">Pour les établissements sans SIH complet (petits centres de santé, postes ruraux), l'agent d'enrôlement saisit manuellement la PEC via l'interface CMU. Les deux modes cohabitent sans incohérence : chaque PEC est rattachée à un etablissement_id et les droits d'accès sont identiques.</w:t>
      </w:r>
    </w:p>
    <w:p>
      <w:pPr>
        <w:pStyle w:val="Heading2"/>
        <w:spacing w:after="120" w:before="360"/>
      </w:pPr>
      <w:r>
        <w:rPr>
          <w:rFonts w:ascii="Calibri" w:cs="Calibri" w:eastAsia="Calibri" w:hAnsi="Calibri"/>
          <w:b/>
          <w:bCs/>
          <w:color w:val="0F4A2E"/>
          <w:sz w:val="28"/>
          <w:szCs w:val="28"/>
        </w:rPr>
        <w:t xml:space="preserve">9.5  Génération des rapports de créance</w:t>
      </w:r>
    </w:p>
    <w:p>
      <w:pPr>
        <w:spacing w:after="120" w:before="0" w:line="300"/>
        <w:jc w:val="both"/>
      </w:pPr>
      <w:r>
        <w:rPr>
          <w:rFonts w:ascii="Calibri" w:cs="Calibri" w:eastAsia="Calibri" w:hAnsi="Calibri"/>
          <w:color w:val="2D332F"/>
          <w:sz w:val="22"/>
          <w:szCs w:val="22"/>
        </w:rPr>
        <w:t xml:space="preserve">Les dossiers de remboursement mensuels (PDF officiels) sont générés avec DomPDF selon la pratique établie, à partir de templates Blade localisés dans resources/views/cmu/pdf/. Chaque dossier inclut :</w:t>
      </w:r>
    </w:p>
    <w:p>
      <w:pPr>
        <w:pStyle w:val="ListParagraph"/>
        <w:numPr>
          <w:ilvl w:val="0"/>
          <w:numId w:val="2"/>
        </w:numPr>
        <w:spacing w:after="40" w:before="40" w:line="280"/>
      </w:pPr>
      <w:r>
        <w:rPr>
          <w:rFonts w:ascii="Calibri" w:cs="Calibri" w:eastAsia="Calibri" w:hAnsi="Calibri"/>
          <w:color w:val="2D332F"/>
          <w:sz w:val="22"/>
          <w:szCs w:val="22"/>
        </w:rPr>
        <w:t xml:space="preserve">En-tête institutionnel République de Guinée + MSHP + logo CMU</w:t>
      </w:r>
    </w:p>
    <w:p>
      <w:pPr>
        <w:pStyle w:val="ListParagraph"/>
        <w:numPr>
          <w:ilvl w:val="0"/>
          <w:numId w:val="2"/>
        </w:numPr>
        <w:spacing w:after="40" w:before="40" w:line="280"/>
      </w:pPr>
      <w:r>
        <w:rPr>
          <w:rFonts w:ascii="Calibri" w:cs="Calibri" w:eastAsia="Calibri" w:hAnsi="Calibri"/>
          <w:color w:val="2D332F"/>
          <w:sz w:val="22"/>
          <w:szCs w:val="22"/>
        </w:rPr>
        <w:t xml:space="preserve">Bandeau d'identification de l'établissement et de la période</w:t>
      </w:r>
    </w:p>
    <w:p>
      <w:pPr>
        <w:pStyle w:val="ListParagraph"/>
        <w:numPr>
          <w:ilvl w:val="0"/>
          <w:numId w:val="2"/>
        </w:numPr>
        <w:spacing w:after="40" w:before="40" w:line="280"/>
      </w:pPr>
      <w:r>
        <w:rPr>
          <w:rFonts w:ascii="Calibri" w:cs="Calibri" w:eastAsia="Calibri" w:hAnsi="Calibri"/>
          <w:color w:val="2D332F"/>
          <w:sz w:val="22"/>
          <w:szCs w:val="22"/>
        </w:rPr>
        <w:t xml:space="preserve">Table récapitulative (nombre de PEC, montants ventilés RGB/RAM)</w:t>
      </w:r>
    </w:p>
    <w:p>
      <w:pPr>
        <w:pStyle w:val="ListParagraph"/>
        <w:numPr>
          <w:ilvl w:val="0"/>
          <w:numId w:val="2"/>
        </w:numPr>
        <w:spacing w:after="40" w:before="40" w:line="280"/>
      </w:pPr>
      <w:r>
        <w:rPr>
          <w:rFonts w:ascii="Calibri" w:cs="Calibri" w:eastAsia="Calibri" w:hAnsi="Calibri"/>
          <w:color w:val="2D332F"/>
          <w:sz w:val="22"/>
          <w:szCs w:val="22"/>
        </w:rPr>
        <w:t xml:space="preserve">Détail ligne à ligne des PEC (selon volume, sur plusieurs pages)</w:t>
      </w:r>
    </w:p>
    <w:p>
      <w:pPr>
        <w:pStyle w:val="ListParagraph"/>
        <w:numPr>
          <w:ilvl w:val="0"/>
          <w:numId w:val="2"/>
        </w:numPr>
        <w:spacing w:after="40" w:before="40" w:line="280"/>
      </w:pPr>
      <w:r>
        <w:rPr>
          <w:rFonts w:ascii="Calibri" w:cs="Calibri" w:eastAsia="Calibri" w:hAnsi="Calibri"/>
          <w:color w:val="2D332F"/>
          <w:sz w:val="22"/>
          <w:szCs w:val="22"/>
        </w:rPr>
        <w:t xml:space="preserve">Bloc signature du directeur d'établissement (ou agent facturation)</w:t>
      </w:r>
    </w:p>
    <w:p>
      <w:pPr>
        <w:pStyle w:val="ListParagraph"/>
        <w:numPr>
          <w:ilvl w:val="0"/>
          <w:numId w:val="2"/>
        </w:numPr>
        <w:spacing w:after="40" w:before="40" w:line="280"/>
      </w:pPr>
      <w:r>
        <w:rPr>
          <w:rFonts w:ascii="Calibri" w:cs="Calibri" w:eastAsia="Calibri" w:hAnsi="Calibri"/>
          <w:color w:val="2D332F"/>
          <w:sz w:val="22"/>
          <w:szCs w:val="22"/>
        </w:rPr>
        <w:t xml:space="preserve">Référence dossier + QR code de vérification</w:t>
      </w:r>
    </w:p>
    <w:tbl>
      <w:tblPr>
        <w:tblW w:type="dxa" w:w="9360"/>
        <w:tblBorders>
          <w:top w:val="single" w:color="FDF6E3" w:sz="4"/>
          <w:left w:val="single" w:color="C9A227" w:sz="24"/>
          <w:bottom w:val="single" w:color="FDF6E3" w:sz="4"/>
          <w:right w:val="single" w:color="FDF6E3" w:sz="4"/>
          <w:insideH w:val="none" w:color="FFFFFF" w:sz="0"/>
          <w:insideV w:val="none" w:color="FFFFFF" w:sz="0"/>
        </w:tblBorders>
      </w:tblPr>
      <w:tblGrid>
        <w:gridCol w:w="9360"/>
      </w:tblGrid>
      <w:tr>
        <w:tc>
          <w:tcPr>
            <w:tcW w:type="dxa" w:w="9360"/>
            <w:shd w:fill="FEFBF0" w:val="clear"/>
            <w:tcMar>
              <w:top w:type="dxa" w:w="160"/>
              <w:left w:type="dxa" w:w="220"/>
              <w:bottom w:type="dxa" w:w="160"/>
              <w:right w:type="dxa" w:w="220"/>
            </w:tcMar>
          </w:tcPr>
          <w:p>
            <w:pPr>
              <w:spacing w:after="100"/>
            </w:pPr>
            <w:r>
              <w:rPr>
                <w:rFonts w:ascii="Calibri" w:cs="Calibri" w:eastAsia="Calibri" w:hAnsi="Calibri"/>
                <w:b/>
                <w:bCs/>
                <w:color w:val="8B6508"/>
                <w:spacing w:val="40"/>
                <w:sz w:val="18"/>
                <w:szCs w:val="18"/>
              </w:rPr>
              <w:t xml:space="preserve">PATTERN BASE64 POUR DOMPDF</w:t>
            </w:r>
          </w:p>
          <w:p>
            <w:pPr>
              <w:spacing w:after="60" w:line="280"/>
              <w:jc w:val="both"/>
            </w:pPr>
            <w:r>
              <w:rPr>
                <w:rFonts w:ascii="Calibri" w:cs="Calibri" w:eastAsia="Calibri" w:hAnsi="Calibri"/>
                <w:color w:val="2D332F"/>
                <w:sz w:val="22"/>
                <w:szCs w:val="22"/>
              </w:rPr>
              <w:t xml:space="preserve">Conformément à la pratique établie sur les autres modules MSanté (Clinique Radèle, Ordre des Pharmaciens), toutes les images intégrées aux PDF sont encodées en base64 inline pour contourner les erreurs de permissions DomPDF en environnement IIS.</w:t>
            </w:r>
          </w:p>
        </w:tc>
      </w:tr>
    </w:tbl>
    <w:p>
      <w:pPr>
        <w:pStyle w:val="Heading1"/>
        <w:pageBreakBefore/>
        <w:pBdr>
          <w:bottom w:val="single" w:color="C9A227" w:sz="8" w:space="4"/>
        </w:pBdr>
        <w:spacing w:after="240" w:before="0"/>
      </w:pPr>
      <w:r>
        <w:rPr>
          <w:rFonts w:ascii="Calibri" w:cs="Calibri" w:eastAsia="Calibri" w:hAnsi="Calibri"/>
          <w:b/>
          <w:bCs/>
          <w:color w:val="B8860B"/>
          <w:sz w:val="40"/>
          <w:szCs w:val="40"/>
        </w:rPr>
        <w:t xml:space="preserve">10. </w:t>
      </w:r>
      <w:r>
        <w:rPr>
          <w:rFonts w:ascii="Calibri" w:cs="Calibri" w:eastAsia="Calibri" w:hAnsi="Calibri"/>
          <w:b/>
          <w:bCs/>
          <w:color w:val="0A3622"/>
          <w:sz w:val="40"/>
          <w:szCs w:val="40"/>
        </w:rPr>
        <w:t xml:space="preserve">Prochaines étapes</w:t>
      </w:r>
    </w:p>
    <w:p>
      <w:pPr>
        <w:spacing w:after="40" w:before="200"/>
      </w:pPr>
      <w:r>
        <w:rPr>
          <w:rFonts w:ascii="Calibri" w:cs="Calibri" w:eastAsia="Calibri" w:hAnsi="Calibri"/>
          <w:b/>
          <w:bCs/>
          <w:color w:val="8B6508"/>
          <w:spacing w:val="40"/>
          <w:sz w:val="16"/>
          <w:szCs w:val="16"/>
        </w:rPr>
        <w:t xml:space="preserve">Vers la mise en œuvre</w:t>
      </w:r>
    </w:p>
    <w:p>
      <w:pPr>
        <w:spacing w:after="120" w:before="0" w:line="300"/>
        <w:jc w:val="both"/>
      </w:pPr>
      <w:r>
        <w:rPr>
          <w:rFonts w:ascii="Calibri" w:cs="Calibri" w:eastAsia="Calibri" w:hAnsi="Calibri"/>
          <w:color w:val="2D332F"/>
          <w:sz w:val="22"/>
          <w:szCs w:val="22"/>
        </w:rPr>
        <w:t xml:space="preserve">Cette spécification constitue le socle de l'implémentation technique de la plateforme CMU. Les prochaines étapes proposées sont organisées en trois vagues successives, alignées avec le calendrier de déploiement gouvernemental (pilote juillet 2027, couverture universelle 2031).</w:t>
      </w:r>
    </w:p>
    <w:p>
      <w:pPr>
        <w:pStyle w:val="Heading2"/>
        <w:spacing w:after="120" w:before="360"/>
      </w:pPr>
      <w:r>
        <w:rPr>
          <w:rFonts w:ascii="Calibri" w:cs="Calibri" w:eastAsia="Calibri" w:hAnsi="Calibri"/>
          <w:b/>
          <w:bCs/>
          <w:color w:val="0F4A2E"/>
          <w:sz w:val="28"/>
          <w:szCs w:val="28"/>
        </w:rPr>
        <w:t xml:space="preserve">10.1  Vague 1 — Pré-développement (avril–juin 2026)</w:t>
      </w:r>
    </w:p>
    <w:p>
      <w:pPr>
        <w:pStyle w:val="ListParagraph"/>
        <w:numPr>
          <w:ilvl w:val="0"/>
          <w:numId w:val="3"/>
        </w:numPr>
        <w:spacing w:after="40" w:before="40" w:line="280"/>
      </w:pPr>
      <w:r>
        <w:rPr>
          <w:rFonts w:ascii="Calibri" w:cs="Calibri" w:eastAsia="Calibri" w:hAnsi="Calibri"/>
          <w:color w:val="2D332F"/>
          <w:sz w:val="22"/>
          <w:szCs w:val="22"/>
        </w:rPr>
        <w:t xml:space="preserve">Validation de cette spécification par le MSHP et e-MSanté SARL</w:t>
      </w:r>
    </w:p>
    <w:p>
      <w:pPr>
        <w:pStyle w:val="ListParagraph"/>
        <w:numPr>
          <w:ilvl w:val="0"/>
          <w:numId w:val="3"/>
        </w:numPr>
        <w:spacing w:after="40" w:before="40" w:line="280"/>
      </w:pPr>
      <w:r>
        <w:rPr>
          <w:rFonts w:ascii="Calibri" w:cs="Calibri" w:eastAsia="Calibri" w:hAnsi="Calibri"/>
          <w:color w:val="2D332F"/>
          <w:sz w:val="22"/>
          <w:szCs w:val="22"/>
        </w:rPr>
        <w:t xml:space="preserve">Rédaction du cahier de prompts Claude Code structuré par phases (méthodologie OLYMPE déjà éprouvée sur Andromède et SIGE)</w:t>
      </w:r>
    </w:p>
    <w:p>
      <w:pPr>
        <w:pStyle w:val="ListParagraph"/>
        <w:numPr>
          <w:ilvl w:val="0"/>
          <w:numId w:val="3"/>
        </w:numPr>
        <w:spacing w:after="40" w:before="40" w:line="280"/>
      </w:pPr>
      <w:r>
        <w:rPr>
          <w:rFonts w:ascii="Calibri" w:cs="Calibri" w:eastAsia="Calibri" w:hAnsi="Calibri"/>
          <w:color w:val="2D332F"/>
          <w:sz w:val="22"/>
          <w:szCs w:val="22"/>
        </w:rPr>
        <w:t xml:space="preserve">Mise en place de l'environnement de développement : base pgsql_cmu locale, connexions multi-bases, squelette Laravel 11 + Livewire 3</w:t>
      </w:r>
    </w:p>
    <w:p>
      <w:pPr>
        <w:pStyle w:val="ListParagraph"/>
        <w:numPr>
          <w:ilvl w:val="0"/>
          <w:numId w:val="3"/>
        </w:numPr>
        <w:spacing w:after="40" w:before="40" w:line="280"/>
      </w:pPr>
      <w:r>
        <w:rPr>
          <w:rFonts w:ascii="Calibri" w:cs="Calibri" w:eastAsia="Calibri" w:hAnsi="Calibri"/>
          <w:color w:val="2D332F"/>
          <w:sz w:val="22"/>
          <w:szCs w:val="22"/>
        </w:rPr>
        <w:t xml:space="preserve">Préparation du DDL complet : génération du script SQL PostgreSQL à partir de la présente spécification</w:t>
      </w:r>
    </w:p>
    <w:p>
      <w:pPr>
        <w:pStyle w:val="ListParagraph"/>
        <w:numPr>
          <w:ilvl w:val="0"/>
          <w:numId w:val="3"/>
        </w:numPr>
        <w:spacing w:after="40" w:before="40" w:line="280"/>
      </w:pPr>
      <w:r>
        <w:rPr>
          <w:rFonts w:ascii="Calibri" w:cs="Calibri" w:eastAsia="Calibri" w:hAnsi="Calibri"/>
          <w:color w:val="2D332F"/>
          <w:sz w:val="22"/>
          <w:szCs w:val="22"/>
        </w:rPr>
        <w:t xml:space="preserve">Initialisation du référentiel : import des 4 hôpitaux MSanté (codes 0001 à 0004), des 6 profils RGB, de la première version de nomenclature</w:t>
      </w:r>
    </w:p>
    <w:p>
      <w:pPr>
        <w:pStyle w:val="Heading2"/>
        <w:spacing w:after="120" w:before="360"/>
      </w:pPr>
      <w:r>
        <w:rPr>
          <w:rFonts w:ascii="Calibri" w:cs="Calibri" w:eastAsia="Calibri" w:hAnsi="Calibri"/>
          <w:b/>
          <w:bCs/>
          <w:color w:val="0F4A2E"/>
          <w:sz w:val="28"/>
          <w:szCs w:val="28"/>
        </w:rPr>
        <w:t xml:space="preserve">10.2  Vague 2 — Développement du MVP (juillet 2026–juin 2027)</w:t>
      </w:r>
    </w:p>
    <w:p>
      <w:pPr>
        <w:spacing w:after="120" w:before="0" w:line="300"/>
        <w:jc w:val="both"/>
      </w:pPr>
      <w:r>
        <w:rPr>
          <w:rFonts w:ascii="Calibri" w:cs="Calibri" w:eastAsia="Calibri" w:hAnsi="Calibri"/>
          <w:color w:val="2D332F"/>
          <w:sz w:val="22"/>
          <w:szCs w:val="22"/>
        </w:rPr>
        <w:t xml:space="preserve">Implémentation des modules critiques pour le pilote :</w:t>
      </w:r>
    </w:p>
    <w:p>
      <w:pPr>
        <w:pStyle w:val="ListParagraph"/>
        <w:numPr>
          <w:ilvl w:val="0"/>
          <w:numId w:val="2"/>
        </w:numPr>
        <w:spacing w:after="40" w:before="40" w:line="280"/>
      </w:pPr>
      <w:r>
        <w:rPr>
          <w:rFonts w:ascii="Calibri" w:cs="Calibri" w:eastAsia="Calibri" w:hAnsi="Calibri"/>
          <w:color w:val="2D332F"/>
          <w:sz w:val="22"/>
          <w:szCs w:val="22"/>
        </w:rPr>
        <w:t xml:space="preserve">Module de configuration nationale (admin CMU) : établissements, profils, nomenclature, tarifs, utilisateurs</w:t>
      </w:r>
    </w:p>
    <w:p>
      <w:pPr>
        <w:pStyle w:val="ListParagraph"/>
        <w:numPr>
          <w:ilvl w:val="0"/>
          <w:numId w:val="2"/>
        </w:numPr>
        <w:spacing w:after="40" w:before="40" w:line="280"/>
      </w:pPr>
      <w:r>
        <w:rPr>
          <w:rFonts w:ascii="Calibri" w:cs="Calibri" w:eastAsia="Calibri" w:hAnsi="Calibri"/>
          <w:color w:val="2D332F"/>
          <w:sz w:val="22"/>
          <w:szCs w:val="22"/>
        </w:rPr>
        <w:t xml:space="preserve">Module d'enrôlement RGB : formulaire 5 étapes, génération IUS, OTP, validation centrale</w:t>
      </w:r>
    </w:p>
    <w:p>
      <w:pPr>
        <w:pStyle w:val="ListParagraph"/>
        <w:numPr>
          <w:ilvl w:val="0"/>
          <w:numId w:val="2"/>
        </w:numPr>
        <w:spacing w:after="40" w:before="40" w:line="280"/>
      </w:pPr>
      <w:r>
        <w:rPr>
          <w:rFonts w:ascii="Calibri" w:cs="Calibri" w:eastAsia="Calibri" w:hAnsi="Calibri"/>
          <w:color w:val="2D332F"/>
          <w:sz w:val="22"/>
          <w:szCs w:val="22"/>
        </w:rPr>
        <w:t xml:space="preserve">Module RAM complet : enquête sociale, commission, réévaluation automatique</w:t>
      </w:r>
    </w:p>
    <w:p>
      <w:pPr>
        <w:pStyle w:val="ListParagraph"/>
        <w:numPr>
          <w:ilvl w:val="0"/>
          <w:numId w:val="2"/>
        </w:numPr>
        <w:spacing w:after="40" w:before="40" w:line="280"/>
      </w:pPr>
      <w:r>
        <w:rPr>
          <w:rFonts w:ascii="Calibri" w:cs="Calibri" w:eastAsia="Calibri" w:hAnsi="Calibri"/>
          <w:color w:val="2D332F"/>
          <w:sz w:val="22"/>
          <w:szCs w:val="22"/>
        </w:rPr>
        <w:t xml:space="preserve">Module de prise en charge : vérification éligibilité, sélection d'actes, calcul split 80/20 ou 100/0</w:t>
      </w:r>
    </w:p>
    <w:p>
      <w:pPr>
        <w:pStyle w:val="ListParagraph"/>
        <w:numPr>
          <w:ilvl w:val="0"/>
          <w:numId w:val="2"/>
        </w:numPr>
        <w:spacing w:after="40" w:before="40" w:line="280"/>
      </w:pPr>
      <w:r>
        <w:rPr>
          <w:rFonts w:ascii="Calibri" w:cs="Calibri" w:eastAsia="Calibri" w:hAnsi="Calibri"/>
          <w:color w:val="2D332F"/>
          <w:sz w:val="22"/>
          <w:szCs w:val="22"/>
        </w:rPr>
        <w:t xml:space="preserve">Module de cotisation : intégration API MTN + Orange, traitement mensuel, gestion des échecs</w:t>
      </w:r>
    </w:p>
    <w:p>
      <w:pPr>
        <w:pStyle w:val="ListParagraph"/>
        <w:numPr>
          <w:ilvl w:val="0"/>
          <w:numId w:val="2"/>
        </w:numPr>
        <w:spacing w:after="40" w:before="40" w:line="280"/>
      </w:pPr>
      <w:r>
        <w:rPr>
          <w:rFonts w:ascii="Calibri" w:cs="Calibri" w:eastAsia="Calibri" w:hAnsi="Calibri"/>
          <w:color w:val="2D332F"/>
          <w:sz w:val="22"/>
          <w:szCs w:val="22"/>
        </w:rPr>
        <w:t xml:space="preserve">Module de remboursement : consolidation automatique, interface facturation, circuit Caisse</w:t>
      </w:r>
    </w:p>
    <w:p>
      <w:pPr>
        <w:pStyle w:val="ListParagraph"/>
        <w:numPr>
          <w:ilvl w:val="0"/>
          <w:numId w:val="2"/>
        </w:numPr>
        <w:spacing w:after="40" w:before="40" w:line="280"/>
      </w:pPr>
      <w:r>
        <w:rPr>
          <w:rFonts w:ascii="Calibri" w:cs="Calibri" w:eastAsia="Calibri" w:hAnsi="Calibri"/>
          <w:color w:val="2D332F"/>
          <w:sz w:val="22"/>
          <w:szCs w:val="22"/>
        </w:rPr>
        <w:t xml:space="preserve">Module carte CMU : émission, génération QR signé, PDF, réédition</w:t>
      </w:r>
    </w:p>
    <w:p>
      <w:pPr>
        <w:pStyle w:val="Heading2"/>
        <w:spacing w:after="120" w:before="360"/>
      </w:pPr>
      <w:r>
        <w:rPr>
          <w:rFonts w:ascii="Calibri" w:cs="Calibri" w:eastAsia="Calibri" w:hAnsi="Calibri"/>
          <w:b/>
          <w:bCs/>
          <w:color w:val="0F4A2E"/>
          <w:sz w:val="28"/>
          <w:szCs w:val="28"/>
        </w:rPr>
        <w:t xml:space="preserve">10.3  Vague 3 — Extension et montée en charge (2027–2031)</w:t>
      </w:r>
    </w:p>
    <w:p>
      <w:pPr>
        <w:pStyle w:val="ListParagraph"/>
        <w:numPr>
          <w:ilvl w:val="0"/>
          <w:numId w:val="2"/>
        </w:numPr>
        <w:spacing w:after="40" w:before="40" w:line="280"/>
      </w:pPr>
      <w:r>
        <w:rPr>
          <w:rFonts w:ascii="Calibri" w:cs="Calibri" w:eastAsia="Calibri" w:hAnsi="Calibri"/>
          <w:color w:val="2D332F"/>
          <w:sz w:val="22"/>
          <w:szCs w:val="22"/>
        </w:rPr>
        <w:t xml:space="preserve">Extension du référentiel : conventionnement progressif des 187 établissements éligibles</w:t>
      </w:r>
    </w:p>
    <w:p>
      <w:pPr>
        <w:pStyle w:val="ListParagraph"/>
        <w:numPr>
          <w:ilvl w:val="0"/>
          <w:numId w:val="2"/>
        </w:numPr>
        <w:spacing w:after="40" w:before="40" w:line="280"/>
      </w:pPr>
      <w:r>
        <w:rPr>
          <w:rFonts w:ascii="Calibri" w:cs="Calibri" w:eastAsia="Calibri" w:hAnsi="Calibri"/>
          <w:color w:val="2D332F"/>
          <w:sz w:val="22"/>
          <w:szCs w:val="22"/>
        </w:rPr>
        <w:t xml:space="preserve">Montée en charge de la validation centrale (dimensionnement des équipes MSHP)</w:t>
      </w:r>
    </w:p>
    <w:p>
      <w:pPr>
        <w:pStyle w:val="ListParagraph"/>
        <w:numPr>
          <w:ilvl w:val="0"/>
          <w:numId w:val="2"/>
        </w:numPr>
        <w:spacing w:after="40" w:before="40" w:line="280"/>
      </w:pPr>
      <w:r>
        <w:rPr>
          <w:rFonts w:ascii="Calibri" w:cs="Calibri" w:eastAsia="Calibri" w:hAnsi="Calibri"/>
          <w:color w:val="2D332F"/>
          <w:sz w:val="22"/>
          <w:szCs w:val="22"/>
        </w:rPr>
        <w:t xml:space="preserve">Intégration des pharmacies conventionnées CMU (module dédié)</w:t>
      </w:r>
    </w:p>
    <w:p>
      <w:pPr>
        <w:pStyle w:val="ListParagraph"/>
        <w:numPr>
          <w:ilvl w:val="0"/>
          <w:numId w:val="2"/>
        </w:numPr>
        <w:spacing w:after="40" w:before="40" w:line="280"/>
      </w:pPr>
      <w:r>
        <w:rPr>
          <w:rFonts w:ascii="Calibri" w:cs="Calibri" w:eastAsia="Calibri" w:hAnsi="Calibri"/>
          <w:color w:val="2D332F"/>
          <w:sz w:val="22"/>
          <w:szCs w:val="22"/>
        </w:rPr>
        <w:t xml:space="preserve">Déploiement mobile : app Android/iOS pour le bénéficiaire (consultation statut, historique, notifications)</w:t>
      </w:r>
    </w:p>
    <w:p>
      <w:pPr>
        <w:pStyle w:val="ListParagraph"/>
        <w:numPr>
          <w:ilvl w:val="0"/>
          <w:numId w:val="2"/>
        </w:numPr>
        <w:spacing w:after="40" w:before="40" w:line="280"/>
      </w:pPr>
      <w:r>
        <w:rPr>
          <w:rFonts w:ascii="Calibri" w:cs="Calibri" w:eastAsia="Calibri" w:hAnsi="Calibri"/>
          <w:color w:val="2D332F"/>
          <w:sz w:val="22"/>
          <w:szCs w:val="22"/>
        </w:rPr>
        <w:t xml:space="preserve">USSD : code court pour les zones blanches (consultation statut + suivi cotisation)</w:t>
      </w:r>
    </w:p>
    <w:p>
      <w:pPr>
        <w:pStyle w:val="ListParagraph"/>
        <w:numPr>
          <w:ilvl w:val="0"/>
          <w:numId w:val="2"/>
        </w:numPr>
        <w:spacing w:after="40" w:before="40" w:line="280"/>
      </w:pPr>
      <w:r>
        <w:rPr>
          <w:rFonts w:ascii="Calibri" w:cs="Calibri" w:eastAsia="Calibri" w:hAnsi="Calibri"/>
          <w:color w:val="2D332F"/>
          <w:sz w:val="22"/>
          <w:szCs w:val="22"/>
        </w:rPr>
        <w:t xml:space="preserve">Supervision régionale avancée : tableaux de bord analytiques par préfecture</w:t>
      </w:r>
    </w:p>
    <w:p>
      <w:pPr>
        <w:pStyle w:val="ListParagraph"/>
        <w:numPr>
          <w:ilvl w:val="0"/>
          <w:numId w:val="2"/>
        </w:numPr>
        <w:spacing w:after="40" w:before="40" w:line="280"/>
      </w:pPr>
      <w:r>
        <w:rPr>
          <w:rFonts w:ascii="Calibri" w:cs="Calibri" w:eastAsia="Calibri" w:hAnsi="Calibri"/>
          <w:color w:val="2D332F"/>
          <w:sz w:val="22"/>
          <w:szCs w:val="22"/>
        </w:rPr>
        <w:t xml:space="preserve">Interconnexion CNPS / CNSS : détection automatique des doubles affiliations</w:t>
      </w:r>
    </w:p>
    <w:p>
      <w:pPr>
        <w:pStyle w:val="Heading2"/>
        <w:spacing w:after="120" w:before="360"/>
      </w:pPr>
      <w:r>
        <w:rPr>
          <w:rFonts w:ascii="Calibri" w:cs="Calibri" w:eastAsia="Calibri" w:hAnsi="Calibri"/>
          <w:b/>
          <w:bCs/>
          <w:color w:val="0F4A2E"/>
          <w:sz w:val="28"/>
          <w:szCs w:val="28"/>
        </w:rPr>
        <w:t xml:space="preserve">10.4  Livrables techniques complémentaires</w:t>
      </w:r>
    </w:p>
    <w:p>
      <w:pPr>
        <w:spacing w:after="120" w:before="0" w:line="300"/>
        <w:jc w:val="both"/>
      </w:pPr>
      <w:r>
        <w:rPr>
          <w:rFonts w:ascii="Calibri" w:cs="Calibri" w:eastAsia="Calibri" w:hAnsi="Calibri"/>
          <w:color w:val="2D332F"/>
          <w:sz w:val="22"/>
          <w:szCs w:val="22"/>
        </w:rPr>
        <w:t xml:space="preserve">Les livrables suivants, complémentaires à cette spécification, peuvent être produits à la demande du MSHP ou de l'équipe technique e-MSanté :</w:t>
      </w:r>
    </w:p>
    <w:p>
      <w:pPr>
        <w:pStyle w:val="ListParagraph"/>
        <w:numPr>
          <w:ilvl w:val="0"/>
          <w:numId w:val="2"/>
        </w:numPr>
        <w:spacing w:after="40" w:before="40" w:line="280"/>
      </w:pPr>
      <w:r>
        <w:rPr>
          <w:rFonts w:ascii="Calibri" w:cs="Calibri" w:eastAsia="Calibri" w:hAnsi="Calibri"/>
          <w:b/>
          <w:bCs/>
          <w:color w:val="0F4A2E"/>
          <w:sz w:val="22"/>
          <w:szCs w:val="22"/>
        </w:rPr>
        <w:t xml:space="preserve">Script SQL DDL PostgreSQL complet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prêt à exécuter, avec commentaires métier et contraintes complètes</w:t>
      </w:r>
    </w:p>
    <w:p>
      <w:pPr>
        <w:pStyle w:val="ListParagraph"/>
        <w:numPr>
          <w:ilvl w:val="0"/>
          <w:numId w:val="2"/>
        </w:numPr>
        <w:spacing w:after="40" w:before="40" w:line="280"/>
      </w:pPr>
      <w:r>
        <w:rPr>
          <w:rFonts w:ascii="Calibri" w:cs="Calibri" w:eastAsia="Calibri" w:hAnsi="Calibri"/>
          <w:b/>
          <w:bCs/>
          <w:color w:val="0F4A2E"/>
          <w:sz w:val="22"/>
          <w:szCs w:val="22"/>
        </w:rPr>
        <w:t xml:space="preserve">Cahier de prompts Claude Code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structuré par phases d'implémentation, pattern un prompt = un commit, méthodologie OLYMPE</w:t>
      </w:r>
    </w:p>
    <w:p>
      <w:pPr>
        <w:pStyle w:val="ListParagraph"/>
        <w:numPr>
          <w:ilvl w:val="0"/>
          <w:numId w:val="2"/>
        </w:numPr>
        <w:spacing w:after="40" w:before="40" w:line="280"/>
      </w:pPr>
      <w:r>
        <w:rPr>
          <w:rFonts w:ascii="Calibri" w:cs="Calibri" w:eastAsia="Calibri" w:hAnsi="Calibri"/>
          <w:b/>
          <w:bCs/>
          <w:color w:val="0F4A2E"/>
          <w:sz w:val="22"/>
          <w:szCs w:val="22"/>
        </w:rPr>
        <w:t xml:space="preserve">Diagrammes de flux détaillés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pour les 3 cas critiques (enrôlement RGB, enrôlement RAM, PEC avec éligibilité)</w:t>
      </w:r>
    </w:p>
    <w:p>
      <w:pPr>
        <w:pStyle w:val="ListParagraph"/>
        <w:numPr>
          <w:ilvl w:val="0"/>
          <w:numId w:val="2"/>
        </w:numPr>
        <w:spacing w:after="40" w:before="40" w:line="280"/>
      </w:pPr>
      <w:r>
        <w:rPr>
          <w:rFonts w:ascii="Calibri" w:cs="Calibri" w:eastAsia="Calibri" w:hAnsi="Calibri"/>
          <w:b/>
          <w:bCs/>
          <w:color w:val="0F4A2E"/>
          <w:sz w:val="22"/>
          <w:szCs w:val="22"/>
        </w:rPr>
        <w:t xml:space="preserve">Spécification d'API opérateurs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MTN Mobile Money et Orange Money, formats d'échange, gestion des erreurs</w:t>
      </w:r>
    </w:p>
    <w:p>
      <w:pPr>
        <w:pStyle w:val="ListParagraph"/>
        <w:numPr>
          <w:ilvl w:val="0"/>
          <w:numId w:val="2"/>
        </w:numPr>
        <w:spacing w:after="40" w:before="40" w:line="280"/>
      </w:pPr>
      <w:r>
        <w:rPr>
          <w:rFonts w:ascii="Calibri" w:cs="Calibri" w:eastAsia="Calibri" w:hAnsi="Calibri"/>
          <w:b/>
          <w:bCs/>
          <w:color w:val="0F4A2E"/>
          <w:sz w:val="22"/>
          <w:szCs w:val="22"/>
        </w:rPr>
        <w:t xml:space="preserve">Plan de tests et de recette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jeux de données, scénarios fonctionnels, critères d'acceptation</w:t>
      </w:r>
    </w:p>
    <w:p>
      <w:pPr>
        <w:pStyle w:val="ListParagraph"/>
        <w:numPr>
          <w:ilvl w:val="0"/>
          <w:numId w:val="2"/>
        </w:numPr>
        <w:spacing w:after="40" w:before="40" w:line="280"/>
      </w:pPr>
      <w:r>
        <w:rPr>
          <w:rFonts w:ascii="Calibri" w:cs="Calibri" w:eastAsia="Calibri" w:hAnsi="Calibri"/>
          <w:b/>
          <w:bCs/>
          <w:color w:val="0F4A2E"/>
          <w:sz w:val="22"/>
          <w:szCs w:val="22"/>
        </w:rPr>
        <w:t xml:space="preserve">Guide d'administration </w:t>
      </w:r>
      <w:r>
        <w:rPr>
          <w:rFonts w:ascii="Calibri" w:cs="Calibri" w:eastAsia="Calibri" w:hAnsi="Calibri"/>
          <w:color w:val="8A8F8C"/>
          <w:sz w:val="22"/>
          <w:szCs w:val="22"/>
        </w:rPr>
        <w:t xml:space="preserve">— </w:t>
      </w:r>
      <w:r>
        <w:rPr>
          <w:rFonts w:ascii="Calibri" w:cs="Calibri" w:eastAsia="Calibri" w:hAnsi="Calibri"/>
          <w:color w:val="2D332F"/>
          <w:sz w:val="22"/>
          <w:szCs w:val="22"/>
        </w:rPr>
        <w:t xml:space="preserve">manuel d'exploitation pour l'équipe MSHP</w:t>
      </w:r>
    </w:p>
    <w:p>
      <w:pPr>
        <w:spacing w:after="0"/>
      </w:pPr>
      <w:r>
        <w:rPr>
          <w:sz w:val="12"/>
          <w:szCs w:val="12"/>
        </w:rPr>
        <w:t xml:space="preserve"/>
      </w:r>
    </w:p>
    <w:p>
      <w:pPr>
        <w:pBdr>
          <w:top w:val="single" w:color="C9A227" w:sz="12" w:space="4"/>
        </w:pBdr>
        <w:spacing w:after="240" w:before="240"/>
      </w:pPr>
      <w:r>
        <w:rPr>
          <w:rFonts w:ascii="Calibri" w:cs="Calibri" w:eastAsia="Calibri" w:hAnsi="Calibri"/>
          <w:sz w:val="20"/>
          <w:szCs w:val="20"/>
        </w:rPr>
        <w:t xml:space="preserve"/>
      </w:r>
    </w:p>
    <w:p>
      <w:pPr>
        <w:spacing w:after="80"/>
        <w:jc w:val="center"/>
      </w:pPr>
      <w:r>
        <w:rPr>
          <w:rFonts w:ascii="Calibri" w:cs="Calibri" w:eastAsia="Calibri" w:hAnsi="Calibri"/>
          <w:i/>
          <w:iCs/>
          <w:color w:val="6E736F"/>
          <w:sz w:val="20"/>
          <w:szCs w:val="20"/>
        </w:rPr>
        <w:t xml:space="preserve">Fin du document</w:t>
      </w:r>
    </w:p>
    <w:p>
      <w:pPr>
        <w:spacing w:after="0"/>
        <w:jc w:val="center"/>
      </w:pPr>
      <w:r>
        <w:rPr>
          <w:rFonts w:ascii="Calibri" w:cs="Calibri" w:eastAsia="Calibri" w:hAnsi="Calibri"/>
          <w:color w:val="8A8F8C"/>
          <w:sz w:val="16"/>
          <w:szCs w:val="16"/>
        </w:rPr>
        <w:t xml:space="preserve">OLYMPE · e-MSanté SARL · République de Guinée · 2026</w:t>
      </w:r>
    </w:p>
    <w:sectPr>
      <w:headerReference w:type="default" r:id="rId7"/>
      <w:footerReference w:type="default" r:id="rId8"/>
      <w:pgSz w:w="12240" w:h="15840"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227" w:sz="4" w:space="2"/>
      </w:pBdr>
      <w:tabs>
        <w:tab w:val="center" w:pos="4680"/>
        <w:tab w:val="right" w:pos="9360"/>
      </w:tabs>
    </w:pPr>
    <w:r>
      <w:rPr>
        <w:rFonts w:ascii="Calibri" w:cs="Calibri" w:eastAsia="Calibri" w:hAnsi="Calibri"/>
        <w:color w:val="6E736F"/>
        <w:sz w:val="14"/>
        <w:szCs w:val="14"/>
      </w:rPr>
      <w:t xml:space="preserve">OLYMPE  ·  e-MSanté SARL</w:t>
    </w:r>
    <w:r>
      <w:rPr>
        <w:rFonts w:ascii="Calibri" w:cs="Calibri" w:eastAsia="Calibri" w:hAnsi="Calibri"/>
        <w:sz w:val="14"/>
        <w:szCs w:val="14"/>
      </w:rPr>
      <w:t xml:space="preserve">	</w:t>
    </w:r>
    <w:r>
      <w:rPr>
        <w:rFonts w:ascii="Calibri" w:cs="Calibri" w:eastAsia="Calibri" w:hAnsi="Calibri"/>
        <w:color w:val="6E736F"/>
        <w:sz w:val="14"/>
        <w:szCs w:val="14"/>
      </w:rPr>
      <w:t xml:space="preserve">Page </w:t>
    </w:r>
    <w:r>
      <w:rPr>
        <w:rFonts w:ascii="Calibri" w:cs="Calibri" w:eastAsia="Calibri" w:hAnsi="Calibri"/>
        <w:b/>
        <w:bCs/>
        <w:color w:val="0F4A2E"/>
        <w:sz w:val="14"/>
        <w:szCs w:val="14"/>
      </w:rPr>
      <w:fldChar w:fldCharType="begin"/>
      <w:instrText xml:space="preserve">PAGE</w:instrText>
      <w:fldChar w:fldCharType="separate"/>
      <w:fldChar w:fldCharType="end"/>
    </w:r>
    <w:r>
      <w:rPr>
        <w:rFonts w:ascii="Calibri" w:cs="Calibri" w:eastAsia="Calibri" w:hAnsi="Calibri"/>
        <w:color w:val="6E736F"/>
        <w:sz w:val="14"/>
        <w:szCs w:val="14"/>
      </w:rPr>
      <w:t xml:space="preserve"> / </w:t>
    </w:r>
    <w:r>
      <w:rPr>
        <w:rFonts w:ascii="Calibri" w:cs="Calibri" w:eastAsia="Calibri" w:hAnsi="Calibri"/>
        <w:color w:val="6E736F"/>
        <w:sz w:val="14"/>
        <w:szCs w:val="14"/>
      </w:rPr>
      <w:fldChar w:fldCharType="begin"/>
      <w:instrText xml:space="preserve">NUMPAGES</w:instrText>
      <w:fldChar w:fldCharType="separate"/>
      <w:fldChar w:fldCharType="end"/>
    </w:r>
    <w:r>
      <w:rPr>
        <w:rFonts w:ascii="Calibri" w:cs="Calibri" w:eastAsia="Calibri" w:hAnsi="Calibri"/>
        <w:sz w:val="14"/>
        <w:szCs w:val="14"/>
      </w:rPr>
      <w:t xml:space="preserve">	</w:t>
    </w:r>
    <w:r>
      <w:rPr>
        <w:rFonts w:ascii="Calibri" w:cs="Calibri" w:eastAsia="Calibri" w:hAnsi="Calibri"/>
        <w:i/>
        <w:iCs/>
        <w:color w:val="6E736F"/>
        <w:sz w:val="14"/>
        <w:szCs w:val="14"/>
      </w:rPr>
      <w:t xml:space="preserve">République de Guinée · MSHP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4" w:space="2"/>
      </w:pBdr>
      <w:tabs>
        <w:tab w:val="right" w:pos="9360"/>
      </w:tabs>
      <w:spacing w:after="120"/>
    </w:pPr>
    <w:r>
      <w:rPr>
        <w:rFonts w:ascii="Calibri" w:cs="Calibri" w:eastAsia="Calibri" w:hAnsi="Calibri"/>
        <w:b/>
        <w:bCs/>
        <w:color w:val="0F4A2E"/>
        <w:spacing w:val="60"/>
        <w:sz w:val="16"/>
        <w:szCs w:val="16"/>
      </w:rPr>
      <w:t xml:space="preserve">CMU GUINÉE</w:t>
    </w:r>
    <w:r>
      <w:rPr>
        <w:rFonts w:ascii="Calibri" w:cs="Calibri" w:eastAsia="Calibri" w:hAnsi="Calibri"/>
        <w:color w:val="6E736F"/>
        <w:sz w:val="16"/>
        <w:szCs w:val="16"/>
      </w:rPr>
      <w:t xml:space="preserve">  ·  Spécification technique v1.0</w:t>
    </w:r>
    <w:r>
      <w:rPr>
        <w:rFonts w:ascii="Calibri" w:cs="Calibri" w:eastAsia="Calibri" w:hAnsi="Calibri"/>
        <w:sz w:val="16"/>
        <w:szCs w:val="16"/>
      </w:rPr>
      <w:t xml:space="preserve">	</w:t>
    </w:r>
    <w:r>
      <w:rPr>
        <w:rFonts w:ascii="Calibri" w:cs="Calibri" w:eastAsia="Calibri" w:hAnsi="Calibri"/>
        <w:i/>
        <w:iCs/>
        <w:color w:val="8B6508"/>
        <w:sz w:val="14"/>
        <w:szCs w:val="14"/>
      </w:rPr>
      <w:t xml:space="preserve">Confidentiel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color w:val="B8860B"/>
      </w:rPr>
    </w:lvl>
  </w:abstractNum>
  <w:abstractNum w:abstractNumId="3" w15:restartNumberingAfterBreak="0">
    <w:multiLevelType w:val="hybridMultilevel"/>
    <w:lvl w:ilvl="0" w15:tentative="1">
      <w:start w:val="1"/>
      <w:numFmt w:val="decimal"/>
      <w:lvlText w:val="%1."/>
      <w:lvlJc w:val="left"/>
      <w:pPr>
        <w:ind w:left="720" w:hanging="360"/>
      </w:pPr>
      <w:rPr>
        <w:b/>
        <w:bCs/>
        <w:color w:val="B8860B"/>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80"/>
      <w:outlineLvl w:val="0"/>
    </w:pPr>
    <w:rPr>
      <w:rFonts w:ascii="Calibri" w:cs="Calibri" w:eastAsia="Calibri" w:hAnsi="Calibri"/>
      <w:b/>
      <w:bCs/>
      <w:color w:val="0A3622"/>
      <w:sz w:val="40"/>
      <w:szCs w:val="40"/>
    </w:rPr>
  </w:style>
  <w:style w:type="paragraph" w:styleId="Heading2">
    <w:name w:val="Heading 2"/>
    <w:basedOn w:val="Normal"/>
    <w:next w:val="Normal"/>
    <w:qFormat/>
    <w:pPr>
      <w:spacing w:after="120" w:before="360"/>
      <w:outlineLvl w:val="1"/>
    </w:pPr>
    <w:rPr>
      <w:rFonts w:ascii="Calibri" w:cs="Calibri" w:eastAsia="Calibri" w:hAnsi="Calibri"/>
      <w:b/>
      <w:bCs/>
      <w:color w:val="0F4A2E"/>
      <w:sz w:val="28"/>
      <w:szCs w:val="28"/>
    </w:rPr>
  </w:style>
  <w:style w:type="paragraph" w:styleId="Heading3">
    <w:name w:val="Heading 3"/>
    <w:basedOn w:val="Normal"/>
    <w:next w:val="Normal"/>
    <w:qFormat/>
    <w:pPr>
      <w:spacing w:after="100" w:before="240"/>
      <w:outlineLvl w:val="2"/>
    </w:pPr>
    <w:rPr>
      <w:rFonts w:ascii="Calibri" w:cs="Calibri" w:eastAsia="Calibri" w:hAnsi="Calibri"/>
      <w:b/>
      <w:bCs/>
      <w:color w:val="1A5D3A"/>
      <w:sz w:val="24"/>
      <w:szCs w:val="24"/>
    </w:rPr>
  </w:style>
  <w:style w:type="paragraph" w:styleId="Heading4">
    <w:name w:val="Heading 4"/>
    <w:basedOn w:val="Normal"/>
    <w:next w:val="Normal"/>
    <w:qFormat/>
    <w:pPr>
      <w:spacing w:after="80" w:before="200"/>
      <w:outlineLvl w:val="3"/>
    </w:pPr>
    <w:rPr>
      <w:rFonts w:ascii="Calibri" w:cs="Calibri" w:eastAsia="Calibri" w:hAnsi="Calibri"/>
      <w:b/>
      <w:bCs/>
      <w:color w:val="5A5F5C"/>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CMU Guinée — Spécification technique</dc:title>
  <dc:creator>OLYMPE · e-MSanté SARL</dc:creator>
  <dc:description>Plateforme nationale de Couverture Maladie Universelle</dc:description>
  <cp:lastModifiedBy>Un-named</cp:lastModifiedBy>
  <cp:revision>1</cp:revision>
  <dcterms:created xsi:type="dcterms:W3CDTF">2026-04-23T12:24:02.040Z</dcterms:created>
  <dcterms:modified xsi:type="dcterms:W3CDTF">2026-04-23T12:24:02.041Z</dcterms:modified>
</cp:coreProperties>
</file>

<file path=docProps/custom.xml><?xml version="1.0" encoding="utf-8"?>
<Properties xmlns="http://schemas.openxmlformats.org/officeDocument/2006/custom-properties" xmlns:vt="http://schemas.openxmlformats.org/officeDocument/2006/docPropsVTypes"/>
</file>