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sz w:val="16"/>
          <w:szCs w:val="16"/>
        </w:rPr>
        <w:t xml:space="preserve"/>
      </w:r>
    </w:p>
    <w:p>
      <w:pPr>
        <w:spacing w:after="80"/>
        <w:jc w:val="center"/>
      </w:pPr>
      <w:r>
        <w:rPr>
          <w:rFonts w:ascii="Calibri" w:cs="Calibri" w:eastAsia="Calibri" w:hAnsi="Calibri"/>
          <w:b/>
          <w:bCs/>
          <w:color w:val="0A3622"/>
          <w:spacing w:val="80"/>
          <w:sz w:val="20"/>
          <w:szCs w:val="20"/>
        </w:rPr>
        <w:t xml:space="preserve">RÉPUBLIQUE DE GUINÉE</w:t>
      </w:r>
    </w:p>
    <w:p>
      <w:pPr>
        <w:spacing w:after="600"/>
        <w:jc w:val="center"/>
      </w:pPr>
      <w:r>
        <w:rPr>
          <w:rFonts w:ascii="Calibri" w:cs="Calibri" w:eastAsia="Calibri" w:hAnsi="Calibri"/>
          <w:i/>
          <w:iCs/>
          <w:color w:val="5A5F5C"/>
          <w:sz w:val="20"/>
          <w:szCs w:val="20"/>
        </w:rPr>
        <w:t xml:space="preserve">Ministère de la Santé et de l'Hygiène Publique</w:t>
      </w:r>
    </w:p>
    <w:p>
      <w:pPr>
        <w:spacing w:after="200"/>
        <w:jc w:val="center"/>
      </w:pPr>
      <w:r>
        <w:rPr>
          <w:rFonts w:ascii="Calibri" w:cs="Calibri" w:eastAsia="Calibri" w:hAnsi="Calibri"/>
          <w:b/>
          <w:bCs/>
          <w:color w:val="B8860B"/>
          <w:spacing w:val="120"/>
          <w:sz w:val="22"/>
          <w:szCs w:val="22"/>
        </w:rPr>
        <w:t xml:space="preserve">ADDENDUM v1.1</w:t>
      </w:r>
    </w:p>
    <w:p>
      <w:pPr>
        <w:spacing w:after="40"/>
        <w:jc w:val="center"/>
      </w:pPr>
      <w:r>
        <w:rPr>
          <w:rFonts w:ascii="Calibri" w:cs="Calibri" w:eastAsia="Calibri" w:hAnsi="Calibri"/>
          <w:b/>
          <w:bCs/>
          <w:color w:val="0A3622"/>
          <w:sz w:val="48"/>
          <w:szCs w:val="48"/>
        </w:rPr>
        <w:t xml:space="preserve">Écosystème de collecte</w:t>
      </w:r>
    </w:p>
    <w:p>
      <w:pPr>
        <w:spacing w:after="600"/>
        <w:jc w:val="center"/>
      </w:pPr>
      <w:r>
        <w:rPr>
          <w:rFonts w:ascii="Calibri" w:cs="Calibri" w:eastAsia="Calibri" w:hAnsi="Calibri"/>
          <w:i/>
          <w:iCs/>
          <w:color w:val="B8860B"/>
          <w:sz w:val="36"/>
          <w:szCs w:val="36"/>
        </w:rPr>
        <w:t xml:space="preserve">et structures conventionnées</w:t>
      </w:r>
    </w:p>
    <w:p>
      <w:pPr>
        <w:pBdr>
          <w:bottom w:val="single" w:color="C9A227" w:sz="12" w:space="4"/>
        </w:pBdr>
        <w:spacing w:after="240"/>
        <w:jc w:val="center"/>
      </w:pPr>
      <w:r>
        <w:rPr>
          <w:rFonts w:ascii="Calibri" w:cs="Calibri" w:eastAsia="Calibri" w:hAnsi="Calibri"/>
          <w:sz w:val="20"/>
          <w:szCs w:val="20"/>
        </w:rPr>
        <w:t xml:space="preserve"/>
      </w:r>
    </w:p>
    <w:p>
      <w:pPr>
        <w:spacing w:after="800"/>
        <w:jc w:val="center"/>
      </w:pPr>
      <w:r>
        <w:rPr>
          <w:rFonts w:ascii="Calibri" w:cs="Calibri" w:eastAsia="Calibri" w:hAnsi="Calibri"/>
          <w:i/>
          <w:iCs/>
          <w:color w:val="5A5F5C"/>
          <w:sz w:val="20"/>
          <w:szCs w:val="20"/>
        </w:rPr>
        <w:t xml:space="preserve">Sociétés CMU · Points CMU · Cliniques · Laboratoires · Pharmacies</w:t>
      </w:r>
    </w:p>
    <w:tbl>
      <w:tblPr>
        <w:tblW w:type="dxa" w:w="7920"/>
        <w:jc w:val="center"/>
        <w:tblBorders>
          <w:top w:val="single" w:color="F2DFA4" w:sz="4"/>
          <w:left w:val="single" w:color="C9A227" w:sz="16"/>
          <w:bottom w:val="single" w:color="F2DFA4" w:sz="4"/>
          <w:right w:val="single" w:color="F2DFA4" w:sz="4"/>
          <w:insideH w:val="none" w:color="FFFFFF" w:sz="0"/>
          <w:insideV w:val="none" w:color="FFFFFF" w:sz="0"/>
        </w:tblBorders>
      </w:tblPr>
      <w:tblGrid>
        <w:gridCol w:w="7920"/>
      </w:tblGrid>
      <w:tr>
        <w:tc>
          <w:tcPr>
            <w:tcW w:type="dxa" w:w="7920"/>
            <w:shd w:fill="FEFBF0" w:val="clear"/>
            <w:tcMar>
              <w:top w:type="dxa" w:w="240"/>
              <w:left w:type="dxa" w:w="320"/>
              <w:bottom w:type="dxa" w:w="240"/>
              <w:right w:type="dxa" w:w="320"/>
            </w:tcMar>
          </w:tcPr>
          <w:p>
            <w:pPr>
              <w:spacing w:after="80"/>
            </w:pPr>
            <w:r>
              <w:rPr>
                <w:rFonts w:ascii="Calibri" w:cs="Calibri" w:eastAsia="Calibri" w:hAnsi="Calibri"/>
                <w:b/>
                <w:bCs/>
                <w:color w:val="5A5F5C"/>
                <w:spacing w:val="40"/>
                <w:sz w:val="18"/>
                <w:szCs w:val="18"/>
              </w:rPr>
              <w:t xml:space="preserve">Document complémentaire à  </w:t>
            </w:r>
            <w:r>
              <w:rPr>
                <w:rFonts w:ascii="Calibri" w:cs="Calibri" w:eastAsia="Calibri" w:hAnsi="Calibri"/>
                <w:b/>
                <w:bCs/>
                <w:color w:val="0A3622"/>
                <w:sz w:val="22"/>
                <w:szCs w:val="22"/>
              </w:rPr>
              <w:t xml:space="preserve">CMU Guinée — Spécification technique v1.0</w:t>
            </w:r>
          </w:p>
          <w:p>
            <w:pPr>
              <w:spacing w:after="80"/>
            </w:pPr>
            <w:r>
              <w:rPr>
                <w:rFonts w:ascii="Calibri" w:cs="Calibri" w:eastAsia="Calibri" w:hAnsi="Calibri"/>
                <w:b/>
                <w:bCs/>
                <w:color w:val="5A5F5C"/>
                <w:spacing w:val="40"/>
                <w:sz w:val="18"/>
                <w:szCs w:val="18"/>
              </w:rPr>
              <w:t xml:space="preserve">Version  </w:t>
            </w:r>
            <w:r>
              <w:rPr>
                <w:rFonts w:ascii="Calibri" w:cs="Calibri" w:eastAsia="Calibri" w:hAnsi="Calibri"/>
                <w:color w:val="2D332F"/>
                <w:sz w:val="22"/>
                <w:szCs w:val="22"/>
              </w:rPr>
              <w:t xml:space="preserve">1.1 — 25 avril 2026</w:t>
            </w:r>
          </w:p>
          <w:p>
            <w:pPr>
              <w:spacing w:after="0"/>
            </w:pPr>
            <w:r>
              <w:rPr>
                <w:rFonts w:ascii="Calibri" w:cs="Calibri" w:eastAsia="Calibri" w:hAnsi="Calibri"/>
                <w:b/>
                <w:bCs/>
                <w:color w:val="5A5F5C"/>
                <w:spacing w:val="40"/>
                <w:sz w:val="18"/>
                <w:szCs w:val="18"/>
              </w:rPr>
              <w:t xml:space="preserve">Statut  </w:t>
            </w:r>
            <w:r>
              <w:rPr>
                <w:rFonts w:ascii="Calibri" w:cs="Calibri" w:eastAsia="Calibri" w:hAnsi="Calibri"/>
                <w:i/>
                <w:iCs/>
                <w:color w:val="BE1622"/>
                <w:sz w:val="22"/>
                <w:szCs w:val="22"/>
              </w:rPr>
              <w:t xml:space="preserve">À valider par le MSHP avant implémentation</w:t>
            </w:r>
          </w:p>
        </w:tc>
      </w:tr>
    </w:tbl>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1. </w:t>
      </w:r>
      <w:r>
        <w:rPr>
          <w:rFonts w:ascii="Calibri" w:cs="Calibri" w:eastAsia="Calibri" w:hAnsi="Calibri"/>
          <w:b/>
          <w:bCs/>
          <w:color w:val="0A3622"/>
          <w:sz w:val="40"/>
          <w:szCs w:val="40"/>
        </w:rPr>
        <w:t xml:space="preserve">Contexte de l'addendum</w:t>
      </w:r>
    </w:p>
    <w:p>
      <w:pPr>
        <w:spacing w:after="40" w:before="200"/>
      </w:pPr>
      <w:r>
        <w:rPr>
          <w:rFonts w:ascii="Calibri" w:cs="Calibri" w:eastAsia="Calibri" w:hAnsi="Calibri"/>
          <w:b/>
          <w:bCs/>
          <w:color w:val="8B6508"/>
          <w:spacing w:val="40"/>
          <w:sz w:val="16"/>
          <w:szCs w:val="16"/>
        </w:rPr>
        <w:t xml:space="preserve">Évolution de la doctrine</w:t>
      </w:r>
    </w:p>
    <w:p>
      <w:pPr>
        <w:spacing w:after="120" w:before="0" w:line="300"/>
        <w:jc w:val="both"/>
      </w:pPr>
      <w:r>
        <w:rPr>
          <w:rFonts w:ascii="Calibri" w:cs="Calibri" w:eastAsia="Calibri" w:hAnsi="Calibri"/>
          <w:color w:val="2D332F"/>
          <w:sz w:val="22"/>
          <w:szCs w:val="22"/>
        </w:rPr>
        <w:t xml:space="preserve">La spécification technique v1.0 de la plateforme CMU couvrait un dispositif hospitalo-centré : les bénéficiaires s'enrôlent à l'hôpital, sont pris en charge à l'hôpital, et les remboursements s'effectuent au profit des hôpitaux conventionnés. Ce modèle est cohérent pour démarrer le pilote sur les quatre hôpitaux MSanté, mais il est insuffisant pour atteindre l'objectif ministériel de douze millions d'assurés d'ici 2031.</w:t>
      </w:r>
    </w:p>
    <w:p>
      <w:pPr>
        <w:spacing w:after="120" w:before="0" w:line="300"/>
        <w:jc w:val="both"/>
      </w:pPr>
      <w:r>
        <w:rPr>
          <w:rFonts w:ascii="Calibri" w:cs="Calibri" w:eastAsia="Calibri" w:hAnsi="Calibri"/>
          <w:color w:val="2D332F"/>
          <w:sz w:val="22"/>
          <w:szCs w:val="22"/>
        </w:rPr>
        <w:t xml:space="preserve">Le présent addendum formalise une extension majeure du dispositif : la CMU devient un écosystème de collecte et de prestation, articulé autour de trois nouvelles catégories d'acteurs venant compléter le réseau hospitalier existant.</w:t>
      </w:r>
    </w:p>
    <w:p>
      <w:pPr>
        <w:pStyle w:val="Heading2"/>
        <w:spacing w:after="120" w:before="360"/>
      </w:pPr>
      <w:r>
        <w:rPr>
          <w:rFonts w:ascii="Calibri" w:cs="Calibri" w:eastAsia="Calibri" w:hAnsi="Calibri"/>
          <w:b/>
          <w:bCs/>
          <w:color w:val="0F4A2E"/>
          <w:sz w:val="28"/>
          <w:szCs w:val="28"/>
        </w:rPr>
        <w:t xml:space="preserve">1.1  Les trois nouveaux acteurs</w:t>
      </w:r>
    </w:p>
    <w:p>
      <w:pPr>
        <w:pStyle w:val="ListParagraph"/>
        <w:numPr>
          <w:ilvl w:val="0"/>
          <w:numId w:val="2"/>
        </w:numPr>
        <w:spacing w:after="40" w:before="40" w:line="280"/>
      </w:pPr>
      <w:r>
        <w:rPr>
          <w:rFonts w:ascii="Calibri" w:cs="Calibri" w:eastAsia="Calibri" w:hAnsi="Calibri"/>
          <w:b/>
          <w:bCs/>
          <w:color w:val="0F4A2E"/>
          <w:sz w:val="22"/>
          <w:szCs w:val="22"/>
        </w:rPr>
        <w:t xml:space="preserve">Sociétés CMU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Entités privées agréées par le ministère, dédiées à l'enrôlement de masse et à la collecte des cotisations. Elles n'offrent pas de soins. Modèle économique : commission sur les cotisations effectivement collectées.</w:t>
      </w:r>
    </w:p>
    <w:p>
      <w:pPr>
        <w:pStyle w:val="ListParagraph"/>
        <w:numPr>
          <w:ilvl w:val="0"/>
          <w:numId w:val="2"/>
        </w:numPr>
        <w:spacing w:after="40" w:before="40" w:line="280"/>
      </w:pPr>
      <w:r>
        <w:rPr>
          <w:rFonts w:ascii="Calibri" w:cs="Calibri" w:eastAsia="Calibri" w:hAnsi="Calibri"/>
          <w:b/>
          <w:bCs/>
          <w:color w:val="0F4A2E"/>
          <w:sz w:val="22"/>
          <w:szCs w:val="22"/>
        </w:rPr>
        <w:t xml:space="preserve">Points CMU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Lieux physiques de présence d'une Société CMU sur le territoire. Permettent de mailler le pays au-delà des hôpitaux : marchés, gares routières, mairies, agences mobile money, écoles, etc.</w:t>
      </w:r>
    </w:p>
    <w:p>
      <w:pPr>
        <w:pStyle w:val="ListParagraph"/>
        <w:numPr>
          <w:ilvl w:val="0"/>
          <w:numId w:val="2"/>
        </w:numPr>
        <w:spacing w:after="40" w:before="40" w:line="280"/>
      </w:pPr>
      <w:r>
        <w:rPr>
          <w:rFonts w:ascii="Calibri" w:cs="Calibri" w:eastAsia="Calibri" w:hAnsi="Calibri"/>
          <w:b/>
          <w:bCs/>
          <w:color w:val="0F4A2E"/>
          <w:sz w:val="22"/>
          <w:szCs w:val="22"/>
        </w:rPr>
        <w:t xml:space="preserve">Structures privées conventionnées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Prestataires de soins privés agréés CMU. Quatre sous-types : cliniques (déjà partiellement modélisées via CL_PRIV), laboratoires médicaux, centres d'imagerie médicale, pharmacies.</w:t>
      </w:r>
    </w:p>
    <w:p>
      <w:pPr>
        <w:pStyle w:val="Heading2"/>
        <w:spacing w:after="120" w:before="360"/>
      </w:pPr>
      <w:r>
        <w:rPr>
          <w:rFonts w:ascii="Calibri" w:cs="Calibri" w:eastAsia="Calibri" w:hAnsi="Calibri"/>
          <w:b/>
          <w:bCs/>
          <w:color w:val="0F4A2E"/>
          <w:sz w:val="28"/>
          <w:szCs w:val="28"/>
        </w:rPr>
        <w:t xml:space="preserve">1.2  Principes directeurs</w:t>
      </w:r>
    </w:p>
    <w:p>
      <w:pPr>
        <w:spacing w:after="120" w:before="0" w:line="300"/>
        <w:jc w:val="both"/>
      </w:pPr>
      <w:r>
        <w:rPr>
          <w:rFonts w:ascii="Calibri" w:cs="Calibri" w:eastAsia="Calibri" w:hAnsi="Calibri"/>
          <w:color w:val="2D332F"/>
          <w:sz w:val="22"/>
          <w:szCs w:val="22"/>
        </w:rPr>
        <w:t xml:space="preserve">L'addendum se construit sur trois principes non négociables :</w:t>
      </w:r>
    </w:p>
    <w:p>
      <w:pPr>
        <w:pStyle w:val="ListParagraph"/>
        <w:numPr>
          <w:ilvl w:val="0"/>
          <w:numId w:val="2"/>
        </w:numPr>
        <w:spacing w:after="40" w:before="40" w:line="280"/>
      </w:pPr>
      <w:r>
        <w:rPr>
          <w:rFonts w:ascii="Calibri" w:cs="Calibri" w:eastAsia="Calibri" w:hAnsi="Calibri"/>
          <w:b/>
          <w:bCs/>
          <w:color w:val="0F4A2E"/>
          <w:sz w:val="22"/>
          <w:szCs w:val="22"/>
        </w:rPr>
        <w:t xml:space="preserve">Continuité du modèle existant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Toutes les règles, tables et workflows de la spécification v1.0 demeurent valides. L'addendum ajoute, il ne remplace pas.</w:t>
      </w:r>
    </w:p>
    <w:p>
      <w:pPr>
        <w:pStyle w:val="ListParagraph"/>
        <w:numPr>
          <w:ilvl w:val="0"/>
          <w:numId w:val="2"/>
        </w:numPr>
        <w:spacing w:after="40" w:before="40" w:line="280"/>
      </w:pPr>
      <w:r>
        <w:rPr>
          <w:rFonts w:ascii="Calibri" w:cs="Calibri" w:eastAsia="Calibri" w:hAnsi="Calibri"/>
          <w:b/>
          <w:bCs/>
          <w:color w:val="0F4A2E"/>
          <w:sz w:val="22"/>
          <w:szCs w:val="22"/>
        </w:rPr>
        <w:t xml:space="preserve">Centralisation ministérielle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Le MSHP conserve la maîtrise complète : il agrée les Sociétés CMU, il conventionne les structures privées, il fixe les tarifs (publics comme privés), il valide tous les dossiers d'adhésion.</w:t>
      </w:r>
    </w:p>
    <w:p>
      <w:pPr>
        <w:pStyle w:val="ListParagraph"/>
        <w:numPr>
          <w:ilvl w:val="0"/>
          <w:numId w:val="2"/>
        </w:numPr>
        <w:spacing w:after="40" w:before="40" w:line="280"/>
      </w:pPr>
      <w:r>
        <w:rPr>
          <w:rFonts w:ascii="Calibri" w:cs="Calibri" w:eastAsia="Calibri" w:hAnsi="Calibri"/>
          <w:b/>
          <w:bCs/>
          <w:color w:val="0F4A2E"/>
          <w:sz w:val="22"/>
          <w:szCs w:val="22"/>
        </w:rPr>
        <w:t xml:space="preserve">Traçabilité de bout en bout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Chaque adhérent reste rattaché à un IUS unique. Chaque cotisation est traçable vers la Société CMU et l'agent qui l'a collectée. Chaque PEC est traçable vers la structure qui l'a réalisée.</w:t>
      </w:r>
    </w:p>
    <w:p>
      <w:pPr>
        <w:pStyle w:val="Heading2"/>
        <w:spacing w:after="120" w:before="360"/>
      </w:pPr>
      <w:r>
        <w:rPr>
          <w:rFonts w:ascii="Calibri" w:cs="Calibri" w:eastAsia="Calibri" w:hAnsi="Calibri"/>
          <w:b/>
          <w:bCs/>
          <w:color w:val="0F4A2E"/>
          <w:sz w:val="28"/>
          <w:szCs w:val="28"/>
        </w:rPr>
        <w:t xml:space="preserve">1.3  Périmètre du document</w:t>
      </w:r>
    </w:p>
    <w:p>
      <w:pPr>
        <w:spacing w:after="120" w:before="0" w:line="300"/>
        <w:jc w:val="both"/>
      </w:pPr>
      <w:r>
        <w:rPr>
          <w:rFonts w:ascii="Calibri" w:cs="Calibri" w:eastAsia="Calibri" w:hAnsi="Calibri"/>
          <w:color w:val="2D332F"/>
          <w:sz w:val="22"/>
          <w:szCs w:val="22"/>
        </w:rPr>
        <w:t xml:space="preserve">L'addendum couvre exclusivement les éléments nouveaux ou modifiés. Pour tout ce qui n'est pas explicitement abordé ici, la spécification v1.0 demeure la référence. Les éléments nouveaux sont :</w:t>
      </w:r>
    </w:p>
    <w:p>
      <w:pPr>
        <w:pStyle w:val="ListParagraph"/>
        <w:numPr>
          <w:ilvl w:val="0"/>
          <w:numId w:val="2"/>
        </w:numPr>
        <w:spacing w:after="40" w:before="40" w:line="280"/>
      </w:pPr>
      <w:r>
        <w:rPr>
          <w:rFonts w:ascii="Calibri" w:cs="Calibri" w:eastAsia="Calibri" w:hAnsi="Calibri"/>
          <w:color w:val="2D332F"/>
          <w:sz w:val="22"/>
          <w:szCs w:val="22"/>
        </w:rPr>
        <w:t xml:space="preserve">Nouvelles règles métier (commission collecte, validation à deux niveaux, ordonnance pharmacie)</w:t>
      </w:r>
    </w:p>
    <w:p>
      <w:pPr>
        <w:pStyle w:val="ListParagraph"/>
        <w:numPr>
          <w:ilvl w:val="0"/>
          <w:numId w:val="2"/>
        </w:numPr>
        <w:spacing w:after="40" w:before="40" w:line="280"/>
      </w:pPr>
      <w:r>
        <w:rPr>
          <w:rFonts w:ascii="Calibri" w:cs="Calibri" w:eastAsia="Calibri" w:hAnsi="Calibri"/>
          <w:color w:val="2D332F"/>
          <w:sz w:val="22"/>
          <w:szCs w:val="22"/>
        </w:rPr>
        <w:t xml:space="preserve">Nouveaux types d'établissement et hiérarchie organisationnelle étendue</w:t>
      </w:r>
    </w:p>
    <w:p>
      <w:pPr>
        <w:pStyle w:val="ListParagraph"/>
        <w:numPr>
          <w:ilvl w:val="0"/>
          <w:numId w:val="2"/>
        </w:numPr>
        <w:spacing w:after="40" w:before="40" w:line="280"/>
      </w:pPr>
      <w:r>
        <w:rPr>
          <w:rFonts w:ascii="Calibri" w:cs="Calibri" w:eastAsia="Calibri" w:hAnsi="Calibri"/>
          <w:color w:val="2D332F"/>
          <w:sz w:val="22"/>
          <w:szCs w:val="22"/>
        </w:rPr>
        <w:t xml:space="preserve">Nouvelles tables de données (sociétés, points CMU, conventions, prescriptions)</w:t>
      </w:r>
    </w:p>
    <w:p>
      <w:pPr>
        <w:pStyle w:val="ListParagraph"/>
        <w:numPr>
          <w:ilvl w:val="0"/>
          <w:numId w:val="2"/>
        </w:numPr>
        <w:spacing w:after="40" w:before="40" w:line="280"/>
      </w:pPr>
      <w:r>
        <w:rPr>
          <w:rFonts w:ascii="Calibri" w:cs="Calibri" w:eastAsia="Calibri" w:hAnsi="Calibri"/>
          <w:color w:val="2D332F"/>
          <w:sz w:val="22"/>
          <w:szCs w:val="22"/>
        </w:rPr>
        <w:t xml:space="preserve">Mise à jour de la matrice de droits avec 5 nouveaux rôles</w:t>
      </w:r>
    </w:p>
    <w:p>
      <w:pPr>
        <w:pStyle w:val="ListParagraph"/>
        <w:numPr>
          <w:ilvl w:val="0"/>
          <w:numId w:val="2"/>
        </w:numPr>
        <w:spacing w:after="40" w:before="40" w:line="280"/>
      </w:pPr>
      <w:r>
        <w:rPr>
          <w:rFonts w:ascii="Calibri" w:cs="Calibri" w:eastAsia="Calibri" w:hAnsi="Calibri"/>
          <w:color w:val="2D332F"/>
          <w:sz w:val="22"/>
          <w:szCs w:val="22"/>
        </w:rPr>
        <w:t xml:space="preserve">Nouveaux workflows (enrôlement société à double validation, dispensation pharmaceutique)</w:t>
      </w:r>
    </w:p>
    <w:p>
      <w:pPr>
        <w:pStyle w:val="ListParagraph"/>
        <w:numPr>
          <w:ilvl w:val="0"/>
          <w:numId w:val="2"/>
        </w:numPr>
        <w:spacing w:after="40" w:before="40" w:line="280"/>
      </w:pPr>
      <w:r>
        <w:rPr>
          <w:rFonts w:ascii="Calibri" w:cs="Calibri" w:eastAsia="Calibri" w:hAnsi="Calibri"/>
          <w:color w:val="2D332F"/>
          <w:sz w:val="22"/>
          <w:szCs w:val="22"/>
        </w:rPr>
        <w:t xml:space="preserve">Nouveaux écrans (admin sociétés, dashboard gérant société, espace conventionné)</w:t>
      </w:r>
    </w:p>
    <w:p>
      <w:pPr>
        <w:spacing w:after="120" w:before="100" w:line="300"/>
        <w:jc w:val="both"/>
      </w:pPr>
      <w:r>
        <w:rPr>
          <w:rFonts w:ascii="Calibri" w:cs="Calibri" w:eastAsia="Calibri" w:hAnsi="Calibri"/>
          <w:i/>
          <w:iCs/>
          <w:color w:val="2D332F"/>
          <w:sz w:val="22"/>
          <w:szCs w:val="22"/>
        </w:rPr>
        <w:t xml:space="preserve">Le mini-cahier de prompts associé décrit l'enchaînement opérationnel des modifications à apporter à la plateforme existante.</w:t>
      </w:r>
    </w:p>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2. </w:t>
      </w:r>
      <w:r>
        <w:rPr>
          <w:rFonts w:ascii="Calibri" w:cs="Calibri" w:eastAsia="Calibri" w:hAnsi="Calibri"/>
          <w:b/>
          <w:bCs/>
          <w:color w:val="0A3622"/>
          <w:sz w:val="40"/>
          <w:szCs w:val="40"/>
        </w:rPr>
        <w:t xml:space="preserve">Nouveaux acteurs et règles métier</w:t>
      </w:r>
    </w:p>
    <w:p>
      <w:pPr>
        <w:spacing w:after="40" w:before="200"/>
      </w:pPr>
      <w:r>
        <w:rPr>
          <w:rFonts w:ascii="Calibri" w:cs="Calibri" w:eastAsia="Calibri" w:hAnsi="Calibri"/>
          <w:b/>
          <w:bCs/>
          <w:color w:val="8B6508"/>
          <w:spacing w:val="40"/>
          <w:sz w:val="16"/>
          <w:szCs w:val="16"/>
        </w:rPr>
        <w:t xml:space="preserve">Sociétés CMU</w:t>
      </w:r>
    </w:p>
    <w:p>
      <w:pPr>
        <w:pStyle w:val="Heading2"/>
        <w:spacing w:after="120" w:before="360"/>
      </w:pPr>
      <w:r>
        <w:rPr>
          <w:rFonts w:ascii="Calibri" w:cs="Calibri" w:eastAsia="Calibri" w:hAnsi="Calibri"/>
          <w:b/>
          <w:bCs/>
          <w:color w:val="0F4A2E"/>
          <w:sz w:val="28"/>
          <w:szCs w:val="28"/>
        </w:rPr>
        <w:t xml:space="preserve">2.1  Sociétés CMU</w:t>
      </w:r>
    </w:p>
    <w:p>
      <w:pPr>
        <w:spacing w:after="120" w:before="0" w:line="300"/>
        <w:jc w:val="both"/>
      </w:pPr>
      <w:r>
        <w:rPr>
          <w:rFonts w:ascii="Calibri" w:cs="Calibri" w:eastAsia="Calibri" w:hAnsi="Calibri"/>
          <w:color w:val="2D332F"/>
          <w:sz w:val="22"/>
          <w:szCs w:val="22"/>
        </w:rPr>
        <w:t xml:space="preserve">Les Sociétés CMU sont des entités privées qui obtiennent un agrément ministériel pour conduire des opérations d'enrôlement et de collecte de cotisations en lieu et place du réseau hospitalier. Elles sont rémunérées à la performance via une commission sur les cotisations effectivement collectées.</w:t>
      </w:r>
    </w:p>
    <w:p>
      <w:pPr>
        <w:pStyle w:val="Heading3"/>
        <w:spacing w:after="100" w:before="240"/>
      </w:pPr>
      <w:r>
        <w:rPr>
          <w:rFonts w:ascii="Calibri" w:cs="Calibri" w:eastAsia="Calibri" w:hAnsi="Calibri"/>
          <w:b/>
          <w:bCs/>
          <w:color w:val="1A5D3A"/>
          <w:sz w:val="24"/>
          <w:szCs w:val="24"/>
        </w:rPr>
        <w:t xml:space="preserve">Caractéristiques générales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Élément</w:t>
            </w:r>
          </w:p>
        </w:tc>
        <w:tc>
          <w:tcPr>
            <w:tcW w:type="dxa" w:w="69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Création</w:t>
            </w:r>
          </w:p>
        </w:tc>
        <w:tc>
          <w:tcPr>
            <w:tcW w:type="dxa" w:w="69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 l'administration centrale CMU uniquement, sur dossier d'agrément</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Périmètre d'action</w:t>
            </w:r>
          </w:p>
        </w:tc>
        <w:tc>
          <w:tcPr>
            <w:tcW w:type="dxa" w:w="69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Enrôlement de bénéficiaires et collecte de cotisations RGB</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Interdiction</w:t>
            </w:r>
          </w:p>
        </w:tc>
        <w:tc>
          <w:tcPr>
            <w:tcW w:type="dxa" w:w="69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Aucune prise en charge médicale. Aucune action sur le RAM.</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Rémunération</w:t>
            </w:r>
          </w:p>
        </w:tc>
        <w:tc>
          <w:tcPr>
            <w:tcW w:type="dxa" w:w="69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Commission paramétrable sur les cotisations encaissées (défaut 5%)</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69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ACTIF, EN_COURS_AGREMENT, SUSPENDU, INACTIF</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Suspension</w:t>
            </w:r>
          </w:p>
        </w:tc>
        <w:tc>
          <w:tcPr>
            <w:tcW w:type="dxa" w:w="69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Décidée par le MSHP. Bloque les agents, n'invalide pas les adhérents</w:t>
            </w:r>
          </w:p>
        </w:tc>
      </w:tr>
    </w:tbl>
    <w:p>
      <w:pPr>
        <w:spacing w:after="0"/>
      </w:pPr>
      <w:r>
        <w:rPr>
          <w:sz w:val="8"/>
          <w:szCs w:val="8"/>
        </w:rPr>
        <w:t xml:space="preserve"/>
      </w:r>
    </w:p>
    <w:p>
      <w:pPr>
        <w:pStyle w:val="Heading3"/>
        <w:spacing w:after="100" w:before="240"/>
      </w:pPr>
      <w:r>
        <w:rPr>
          <w:rFonts w:ascii="Calibri" w:cs="Calibri" w:eastAsia="Calibri" w:hAnsi="Calibri"/>
          <w:b/>
          <w:bCs/>
          <w:color w:val="1A5D3A"/>
          <w:sz w:val="24"/>
          <w:szCs w:val="24"/>
        </w:rPr>
        <w:t xml:space="preserve">Modèle économique</w:t>
      </w:r>
    </w:p>
    <w:p>
      <w:pPr>
        <w:spacing w:after="120" w:before="0" w:line="300"/>
        <w:jc w:val="both"/>
      </w:pPr>
      <w:r>
        <w:rPr>
          <w:rFonts w:ascii="Calibri" w:cs="Calibri" w:eastAsia="Calibri" w:hAnsi="Calibri"/>
          <w:color w:val="2D332F"/>
          <w:sz w:val="22"/>
          <w:szCs w:val="22"/>
        </w:rPr>
        <w:t xml:space="preserve">La rémunération s'effectue par commission sur cotisations collectées. Le mécanisme retenu est le suivant :</w:t>
      </w:r>
    </w:p>
    <w:p>
      <w:pPr>
        <w:pStyle w:val="ListParagraph"/>
        <w:numPr>
          <w:ilvl w:val="0"/>
          <w:numId w:val="2"/>
        </w:numPr>
        <w:spacing w:after="40" w:before="40" w:line="280"/>
      </w:pPr>
      <w:r>
        <w:rPr>
          <w:rFonts w:ascii="Calibri" w:cs="Calibri" w:eastAsia="Calibri" w:hAnsi="Calibri"/>
          <w:color w:val="2D332F"/>
          <w:sz w:val="22"/>
          <w:szCs w:val="22"/>
        </w:rPr>
        <w:t xml:space="preserve">Le taux de commission est paramétrable nationalement (paramètre cmu_parametre.taux_commission_societe, par défaut 5%)</w:t>
      </w:r>
    </w:p>
    <w:p>
      <w:pPr>
        <w:pStyle w:val="ListParagraph"/>
        <w:numPr>
          <w:ilvl w:val="0"/>
          <w:numId w:val="2"/>
        </w:numPr>
        <w:spacing w:after="40" w:before="40" w:line="280"/>
      </w:pPr>
      <w:r>
        <w:rPr>
          <w:rFonts w:ascii="Calibri" w:cs="Calibri" w:eastAsia="Calibri" w:hAnsi="Calibri"/>
          <w:color w:val="2D332F"/>
          <w:sz w:val="22"/>
          <w:szCs w:val="22"/>
        </w:rPr>
        <w:t xml:space="preserve">Chaque mois, le système calcule pour chaque Société CMU le total des cotisations RGB collectées via ses agents et effectivement reçues par la Caisse</w:t>
      </w:r>
    </w:p>
    <w:p>
      <w:pPr>
        <w:pStyle w:val="ListParagraph"/>
        <w:numPr>
          <w:ilvl w:val="0"/>
          <w:numId w:val="2"/>
        </w:numPr>
        <w:spacing w:after="40" w:before="40" w:line="280"/>
      </w:pPr>
      <w:r>
        <w:rPr>
          <w:rFonts w:ascii="Calibri" w:cs="Calibri" w:eastAsia="Calibri" w:hAnsi="Calibri"/>
          <w:color w:val="2D332F"/>
          <w:sz w:val="22"/>
          <w:szCs w:val="22"/>
        </w:rPr>
        <w:t xml:space="preserve">La commission est calculée sur ce total et constitue une créance de la Société sur la Caisse nationale</w:t>
      </w:r>
    </w:p>
    <w:p>
      <w:pPr>
        <w:pStyle w:val="ListParagraph"/>
        <w:numPr>
          <w:ilvl w:val="0"/>
          <w:numId w:val="2"/>
        </w:numPr>
        <w:spacing w:after="40" w:before="40" w:line="280"/>
      </w:pPr>
      <w:r>
        <w:rPr>
          <w:rFonts w:ascii="Calibri" w:cs="Calibri" w:eastAsia="Calibri" w:hAnsi="Calibri"/>
          <w:color w:val="2D332F"/>
          <w:sz w:val="22"/>
          <w:szCs w:val="22"/>
        </w:rPr>
        <w:t xml:space="preserve">Le paiement de la commission suit un workflow similaire au remboursement hôpital : génération d'un dossier de commission mensuel, soumission à la Caisse, instruction, ordonnancement, paiement</w:t>
      </w:r>
    </w:p>
    <w:tbl>
      <w:tblPr>
        <w:tblW w:type="dxa" w:w="9360"/>
        <w:tblBorders>
          <w:top w:val="single" w:color="F2DFA4" w:sz="4"/>
          <w:left w:val="single" w:color="C9A227" w:sz="24"/>
          <w:bottom w:val="single" w:color="F2DFA4" w:sz="4"/>
          <w:right w:val="single" w:color="F2DFA4" w:sz="4"/>
          <w:insideH w:val="none" w:color="FFFFFF" w:sz="0"/>
          <w:insideV w:val="none" w:color="FFFFFF" w:sz="0"/>
        </w:tblBorders>
      </w:tblPr>
      <w:tblGrid>
        <w:gridCol w:w="9360"/>
      </w:tblGrid>
      <w:tr>
        <w:tc>
          <w:tcPr>
            <w:tcW w:type="dxa" w:w="9360"/>
            <w:shd w:fill="FEFBF0" w:val="clear"/>
            <w:tcMar>
              <w:top w:type="dxa" w:w="160"/>
              <w:left w:type="dxa" w:w="220"/>
              <w:bottom w:type="dxa" w:w="160"/>
              <w:right w:type="dxa" w:w="220"/>
            </w:tcMar>
          </w:tcPr>
          <w:p>
            <w:pPr>
              <w:spacing w:after="100"/>
            </w:pPr>
            <w:r>
              <w:rPr>
                <w:rFonts w:ascii="Calibri" w:cs="Calibri" w:eastAsia="Calibri" w:hAnsi="Calibri"/>
                <w:b/>
                <w:bCs/>
                <w:color w:val="8B6508"/>
                <w:spacing w:val="40"/>
                <w:sz w:val="18"/>
                <w:szCs w:val="18"/>
              </w:rPr>
              <w:t xml:space="preserve">CONTRÔLE ANTI-FRAUDE</w:t>
            </w:r>
          </w:p>
          <w:p>
            <w:pPr>
              <w:spacing w:after="60" w:line="280"/>
              <w:jc w:val="both"/>
            </w:pPr>
            <w:r>
              <w:rPr>
                <w:rFonts w:ascii="Calibri" w:cs="Calibri" w:eastAsia="Calibri" w:hAnsi="Calibri"/>
                <w:color w:val="2D332F"/>
                <w:sz w:val="22"/>
                <w:szCs w:val="22"/>
              </w:rPr>
              <w:t xml:space="preserve">La commission étant un incitatif à l'enrôlement, des contrôles automatiques sont en place : taux de validation des dossiers soumis (alerte si &lt; 70%), taux de rétention à 3 mois (alerte si &lt; 50%), ratio cotisations encaissées sur dossiers validés (alerte si anormal). Un dépassement répété déclenche une revue ministérielle pouvant aboutir à la suspension de la Société.</w:t>
            </w:r>
          </w:p>
        </w:tc>
      </w:tr>
    </w:tbl>
    <w:p>
      <w:pPr>
        <w:pStyle w:val="Heading3"/>
        <w:spacing w:after="100" w:before="240"/>
      </w:pPr>
      <w:r>
        <w:rPr>
          <w:rFonts w:ascii="Calibri" w:cs="Calibri" w:eastAsia="Calibri" w:hAnsi="Calibri"/>
          <w:b/>
          <w:bCs/>
          <w:color w:val="1A5D3A"/>
          <w:sz w:val="24"/>
          <w:szCs w:val="24"/>
        </w:rPr>
        <w:t xml:space="preserve">Rôles internes à une Société CMU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3760"/>
      </w:tblGrid>
      <w:tr>
        <w:trPr>
          <w:tblHeader/>
        </w:trPr>
        <w:tc>
          <w:tcPr>
            <w:tcW w:type="dxa" w:w="3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24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Création</w:t>
            </w:r>
          </w:p>
        </w:tc>
        <w:tc>
          <w:tcPr>
            <w:tcW w:type="dxa" w:w="37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Périmètre d'action</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GERANT_SOCIETE_CMU</w:t>
            </w:r>
          </w:p>
        </w:tc>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 le MSHP lors de l'agrément</w:t>
            </w:r>
          </w:p>
        </w:tc>
        <w:tc>
          <w:tcPr>
            <w:tcW w:type="dxa" w:w="37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Crée les Points CMU, crée et gère les agents, consulte les stats consolidées</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SUPERVISEUR_SOCIETE_CMU</w:t>
            </w:r>
          </w:p>
        </w:tc>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 le gérant (optionnel)</w:t>
            </w:r>
          </w:p>
        </w:tc>
        <w:tc>
          <w:tcPr>
            <w:tcW w:type="dxa" w:w="37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Pré-valide les dossiers avant transmission à la validation centrale ministérielle</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AGENT_SOCIETE_CMU</w:t>
            </w:r>
          </w:p>
        </w:tc>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 le gérant</w:t>
            </w:r>
          </w:p>
        </w:tc>
        <w:tc>
          <w:tcPr>
            <w:tcW w:type="dxa" w:w="37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Enrôle, collecte les cotisations sur le terrain. Rattaché à un Point CMU</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2.2  Points CMU</w:t>
      </w:r>
    </w:p>
    <w:p>
      <w:pPr>
        <w:spacing w:after="120" w:before="0" w:line="300"/>
        <w:jc w:val="both"/>
      </w:pPr>
      <w:r>
        <w:rPr>
          <w:rFonts w:ascii="Calibri" w:cs="Calibri" w:eastAsia="Calibri" w:hAnsi="Calibri"/>
          <w:color w:val="2D332F"/>
          <w:sz w:val="22"/>
          <w:szCs w:val="22"/>
        </w:rPr>
        <w:t xml:space="preserve">Les Points CMU sont les lieux physiques de présence des Sociétés CMU. Une Société peut exploiter de un à plusieurs centaines de Points CMU sur le territoire. Chaque Point dispose d'une géolocalisation précise et d'agents rattachés.</w:t>
      </w:r>
    </w:p>
    <w:p>
      <w:pPr>
        <w:pStyle w:val="Heading3"/>
        <w:spacing w:after="100" w:before="240"/>
      </w:pPr>
      <w:r>
        <w:rPr>
          <w:rFonts w:ascii="Calibri" w:cs="Calibri" w:eastAsia="Calibri" w:hAnsi="Calibri"/>
          <w:b/>
          <w:bCs/>
          <w:color w:val="1A5D3A"/>
          <w:sz w:val="24"/>
          <w:szCs w:val="24"/>
        </w:rPr>
        <w:t xml:space="preserve">Caractéristiques</w:t>
      </w:r>
    </w:p>
    <w:p>
      <w:pPr>
        <w:pStyle w:val="ListParagraph"/>
        <w:numPr>
          <w:ilvl w:val="0"/>
          <w:numId w:val="2"/>
        </w:numPr>
        <w:spacing w:after="40" w:before="40" w:line="280"/>
      </w:pPr>
      <w:r>
        <w:rPr>
          <w:rFonts w:ascii="Calibri" w:cs="Calibri" w:eastAsia="Calibri" w:hAnsi="Calibri"/>
          <w:b/>
          <w:bCs/>
          <w:color w:val="0F4A2E"/>
          <w:sz w:val="22"/>
          <w:szCs w:val="22"/>
        </w:rPr>
        <w:t xml:space="preserve">Création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Par le gérant de la Société CMU. Notification au MSHP.</w:t>
      </w:r>
    </w:p>
    <w:p>
      <w:pPr>
        <w:pStyle w:val="ListParagraph"/>
        <w:numPr>
          <w:ilvl w:val="0"/>
          <w:numId w:val="2"/>
        </w:numPr>
        <w:spacing w:after="40" w:before="40" w:line="280"/>
      </w:pPr>
      <w:r>
        <w:rPr>
          <w:rFonts w:ascii="Calibri" w:cs="Calibri" w:eastAsia="Calibri" w:hAnsi="Calibri"/>
          <w:b/>
          <w:bCs/>
          <w:color w:val="0F4A2E"/>
          <w:sz w:val="22"/>
          <w:szCs w:val="22"/>
        </w:rPr>
        <w:t xml:space="preserve">Géolocalisation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Région, préfecture, sous-préfecture, latitude, longitude obligatoires</w:t>
      </w:r>
    </w:p>
    <w:p>
      <w:pPr>
        <w:pStyle w:val="ListParagraph"/>
        <w:numPr>
          <w:ilvl w:val="0"/>
          <w:numId w:val="2"/>
        </w:numPr>
        <w:spacing w:after="40" w:before="40" w:line="280"/>
      </w:pPr>
      <w:r>
        <w:rPr>
          <w:rFonts w:ascii="Calibri" w:cs="Calibri" w:eastAsia="Calibri" w:hAnsi="Calibri"/>
          <w:b/>
          <w:bCs/>
          <w:color w:val="0F4A2E"/>
          <w:sz w:val="22"/>
          <w:szCs w:val="22"/>
        </w:rPr>
        <w:t xml:space="preserve">Code unique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Quatre chiffres dans la plage 5000-9999, attribué automatiquement (voir IUS)</w:t>
      </w:r>
    </w:p>
    <w:p>
      <w:pPr>
        <w:pStyle w:val="ListParagraph"/>
        <w:numPr>
          <w:ilvl w:val="0"/>
          <w:numId w:val="2"/>
        </w:numPr>
        <w:spacing w:after="40" w:before="40" w:line="280"/>
      </w:pPr>
      <w:r>
        <w:rPr>
          <w:rFonts w:ascii="Calibri" w:cs="Calibri" w:eastAsia="Calibri" w:hAnsi="Calibri"/>
          <w:b/>
          <w:bCs/>
          <w:color w:val="0F4A2E"/>
          <w:sz w:val="22"/>
          <w:szCs w:val="22"/>
        </w:rPr>
        <w:t xml:space="preserve">Statut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ACTIF, INACTIF (pas de validation ministérielle préalable)</w:t>
      </w:r>
    </w:p>
    <w:p>
      <w:pPr>
        <w:pStyle w:val="ListParagraph"/>
        <w:numPr>
          <w:ilvl w:val="0"/>
          <w:numId w:val="2"/>
        </w:numPr>
        <w:spacing w:after="40" w:before="40" w:line="280"/>
      </w:pPr>
      <w:r>
        <w:rPr>
          <w:rFonts w:ascii="Calibri" w:cs="Calibri" w:eastAsia="Calibri" w:hAnsi="Calibri"/>
          <w:b/>
          <w:bCs/>
          <w:color w:val="0F4A2E"/>
          <w:sz w:val="22"/>
          <w:szCs w:val="22"/>
        </w:rPr>
        <w:t xml:space="preserve">Agents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Plusieurs agents peuvent être rattachés simultanément à un Point CMU</w:t>
      </w:r>
    </w:p>
    <w:p>
      <w:pPr>
        <w:pStyle w:val="Heading2"/>
        <w:spacing w:after="120" w:before="360"/>
      </w:pPr>
      <w:r>
        <w:rPr>
          <w:rFonts w:ascii="Calibri" w:cs="Calibri" w:eastAsia="Calibri" w:hAnsi="Calibri"/>
          <w:b/>
          <w:bCs/>
          <w:color w:val="0F4A2E"/>
          <w:sz w:val="28"/>
          <w:szCs w:val="28"/>
        </w:rPr>
        <w:t xml:space="preserve">2.3  Encodage IUS pour les Points CMU</w:t>
      </w:r>
    </w:p>
    <w:p>
      <w:pPr>
        <w:spacing w:after="120" w:before="0" w:line="300"/>
        <w:jc w:val="both"/>
      </w:pPr>
      <w:r>
        <w:rPr>
          <w:rFonts w:ascii="Calibri" w:cs="Calibri" w:eastAsia="Calibri" w:hAnsi="Calibri"/>
          <w:color w:val="2D332F"/>
          <w:sz w:val="22"/>
          <w:szCs w:val="22"/>
        </w:rPr>
        <w:t xml:space="preserve">Le format IUS à 15 chiffres demeure inchangé : EEEEAAAASSSSSSS. L'évolution porte sur la signification du segment EEEE :</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Plage  0001-4999   →  Établissements de soins (hôpitaux, cliniques, etc.)</w:t>
            </w:r>
          </w:p>
          <w:p>
            <w:pPr>
              <w:spacing w:after="20" w:before="0" w:line="260"/>
            </w:pPr>
            <w:r>
              <w:rPr>
                <w:rFonts w:ascii="Consolas" w:cs="Consolas" w:eastAsia="Consolas" w:hAnsi="Consolas"/>
                <w:color w:val="0A3622"/>
                <w:sz w:val="18"/>
                <w:szCs w:val="18"/>
              </w:rPr>
              <w:t xml:space="preserve">Plage  5000-9999   →  Points CMU (Sociétés CMU)</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Exemples :</w:t>
            </w:r>
          </w:p>
          <w:p>
            <w:pPr>
              <w:spacing w:after="20" w:before="0" w:line="260"/>
            </w:pPr>
            <w:r>
              <w:rPr>
                <w:rFonts w:ascii="Consolas" w:cs="Consolas" w:eastAsia="Consolas" w:hAnsi="Consolas"/>
                <w:color w:val="0A3622"/>
                <w:sz w:val="18"/>
                <w:szCs w:val="18"/>
              </w:rPr>
              <w:t xml:space="preserve">  000120260000047  →  CHU Donka, année 2026, 47ᵉ adhérent enrôlé</w:t>
            </w:r>
          </w:p>
          <w:p>
            <w:pPr>
              <w:spacing w:after="20" w:before="0" w:line="260"/>
            </w:pPr>
            <w:r>
              <w:rPr>
                <w:rFonts w:ascii="Consolas" w:cs="Consolas" w:eastAsia="Consolas" w:hAnsi="Consolas"/>
                <w:color w:val="0A3622"/>
                <w:sz w:val="18"/>
                <w:szCs w:val="18"/>
              </w:rPr>
              <w:t xml:space="preserve">  5142202600000012 →  Point CMU 5142, année 2026, 12ᵉ adhérent enrôlé</w:t>
            </w:r>
          </w:p>
        </w:tc>
      </w:tr>
    </w:tbl>
    <w:p>
      <w:pPr>
        <w:spacing w:after="0"/>
      </w:pPr>
      <w:r>
        <w:rPr>
          <w:sz w:val="4"/>
          <w:szCs w:val="4"/>
        </w:rPr>
        <w:t xml:space="preserve"/>
      </w:r>
    </w:p>
    <w:p>
      <w:pPr>
        <w:spacing w:after="120" w:before="0" w:line="300"/>
        <w:jc w:val="both"/>
      </w:pPr>
      <w:r>
        <w:rPr>
          <w:rFonts w:ascii="Calibri" w:cs="Calibri" w:eastAsia="Calibri" w:hAnsi="Calibri"/>
          <w:color w:val="2D332F"/>
          <w:sz w:val="22"/>
          <w:szCs w:val="22"/>
        </w:rPr>
        <w:t xml:space="preserve">La table cmu_etablissement reçoit une nouvelle colonne nature de type VARCHAR(16) avec deux valeurs possibles : SOINS pour les établissements de soins et COLLECTE pour les Points CMU. Cette colonne permet aux requêtes statistiques de différencier les deux populations sans changer la structure générale.</w:t>
      </w:r>
    </w:p>
    <w:p>
      <w:pPr>
        <w:pStyle w:val="Heading2"/>
        <w:spacing w:after="120" w:before="360"/>
      </w:pPr>
      <w:r>
        <w:rPr>
          <w:rFonts w:ascii="Calibri" w:cs="Calibri" w:eastAsia="Calibri" w:hAnsi="Calibri"/>
          <w:b/>
          <w:bCs/>
          <w:color w:val="0F4A2E"/>
          <w:sz w:val="28"/>
          <w:szCs w:val="28"/>
        </w:rPr>
        <w:t xml:space="preserve">2.4  Validation à deux niveaux des dossiers Société CMU</w:t>
      </w:r>
    </w:p>
    <w:p>
      <w:pPr>
        <w:spacing w:after="120" w:before="0" w:line="300"/>
        <w:jc w:val="both"/>
      </w:pPr>
      <w:r>
        <w:rPr>
          <w:rFonts w:ascii="Calibri" w:cs="Calibri" w:eastAsia="Calibri" w:hAnsi="Calibri"/>
          <w:color w:val="2D332F"/>
          <w:sz w:val="22"/>
          <w:szCs w:val="22"/>
        </w:rPr>
        <w:t xml:space="preserve">Les dossiers d'adhésion créés par les agents de Sociétés CMU suivent un circuit de validation enrichi par rapport au circuit hospitalier standard :</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  Agent Société CMU enrôle</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BROUILLON</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soumission</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SOUMIS_SOCIETE      ◄── nouvelle étape</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REJETE_SOCIETE     PREVALIDE_SOCIETE</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 retour agent   transmission validation centrale</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SOUMIS_MINISTERE</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REJETE          VALIDE</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 feedback   (suite cycle normal)</w:t>
            </w:r>
          </w:p>
        </w:tc>
      </w:tr>
    </w:tbl>
    <w:p>
      <w:pPr>
        <w:spacing w:after="0"/>
      </w:pPr>
      <w:r>
        <w:rPr>
          <w:sz w:val="4"/>
          <w:szCs w:val="4"/>
        </w:rPr>
        <w:t xml:space="preserve"/>
      </w:r>
    </w:p>
    <w:p>
      <w:pPr>
        <w:spacing w:after="120" w:before="0" w:line="300"/>
        <w:jc w:val="both"/>
      </w:pPr>
      <w:r>
        <w:rPr>
          <w:rFonts w:ascii="Calibri" w:cs="Calibri" w:eastAsia="Calibri" w:hAnsi="Calibri"/>
          <w:color w:val="2D332F"/>
          <w:sz w:val="22"/>
          <w:szCs w:val="22"/>
        </w:rPr>
        <w:t xml:space="preserve">Pour les Sociétés CMU disposant d'un rôle SUPERVISEUR_SOCIETE_CMU, le superviseur effectue la pré-validation. Pour les Sociétés CMU n'ayant pas ce rôle, c'est le gérant qui assume cette fonction. Dans tous les cas, la validation finale relève exclusivement du VALIDATEUR_CENTRAL ministériel.</w:t>
      </w:r>
    </w:p>
    <w:p>
      <w:pPr>
        <w:pStyle w:val="Heading2"/>
        <w:spacing w:after="120" w:before="360"/>
      </w:pPr>
      <w:r>
        <w:rPr>
          <w:rFonts w:ascii="Calibri" w:cs="Calibri" w:eastAsia="Calibri" w:hAnsi="Calibri"/>
          <w:b/>
          <w:bCs/>
          <w:color w:val="0F4A2E"/>
          <w:sz w:val="28"/>
          <w:szCs w:val="28"/>
        </w:rPr>
        <w:t xml:space="preserve">2.5  Structures privées conventionnées</w:t>
      </w:r>
    </w:p>
    <w:p>
      <w:pPr>
        <w:spacing w:after="120" w:before="0" w:line="300"/>
        <w:jc w:val="both"/>
      </w:pPr>
      <w:r>
        <w:rPr>
          <w:rFonts w:ascii="Calibri" w:cs="Calibri" w:eastAsia="Calibri" w:hAnsi="Calibri"/>
          <w:color w:val="2D332F"/>
          <w:sz w:val="22"/>
          <w:szCs w:val="22"/>
        </w:rPr>
        <w:t xml:space="preserve">Les structures privées conventionnées sont des prestataires de soins agréés par le MSHP. Elles fonctionnent comme les hôpitaux publics du point de vue de la facturation CMU, mais avec une spécialisation par catégorie d'actes.</w:t>
      </w:r>
    </w:p>
    <w:p>
      <w:pPr>
        <w:pStyle w:val="Heading3"/>
        <w:spacing w:after="100" w:before="240"/>
      </w:pPr>
      <w:r>
        <w:rPr>
          <w:rFonts w:ascii="Calibri" w:cs="Calibri" w:eastAsia="Calibri" w:hAnsi="Calibri"/>
          <w:b/>
          <w:bCs/>
          <w:color w:val="1A5D3A"/>
          <w:sz w:val="24"/>
          <w:szCs w:val="24"/>
        </w:rPr>
        <w:t xml:space="preserve">Quatre sous-types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700"/>
        <w:gridCol w:w="3860"/>
      </w:tblGrid>
      <w:tr>
        <w:trPr>
          <w:tblHeader/>
        </w:trPr>
        <w:tc>
          <w:tcPr>
            <w:tcW w:type="dxa" w:w="28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Code type</w:t>
            </w:r>
          </w:p>
        </w:tc>
        <w:tc>
          <w:tcPr>
            <w:tcW w:type="dxa" w:w="2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Sous-type</w:t>
            </w:r>
          </w:p>
        </w:tc>
        <w:tc>
          <w:tcPr>
            <w:tcW w:type="dxa" w:w="38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Catégories d'actes pratiquées</w:t>
            </w:r>
          </w:p>
        </w:tc>
      </w:tr>
      <w:tr>
        <w:tc>
          <w:tcPr>
            <w:tcW w:type="dxa" w:w="2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CL_PRIV / CAB_PRIV</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Clinique / Cabinet privé</w:t>
            </w:r>
          </w:p>
        </w:tc>
        <w:tc>
          <w:tcPr>
            <w:tcW w:type="dxa" w:w="38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Toutes catégories (CONS, BIO, IMG, EXP, SOI, PHA)</w:t>
            </w:r>
          </w:p>
        </w:tc>
      </w:tr>
      <w:tr>
        <w:tc>
          <w:tcPr>
            <w:tcW w:type="dxa" w:w="2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LABO_PRIV</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Laboratoire médical privé</w:t>
            </w:r>
          </w:p>
        </w:tc>
        <w:tc>
          <w:tcPr>
            <w:tcW w:type="dxa" w:w="38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BIO uniquement</w:t>
            </w:r>
          </w:p>
        </w:tc>
      </w:tr>
      <w:tr>
        <w:tc>
          <w:tcPr>
            <w:tcW w:type="dxa" w:w="2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IMG_PRIV</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Centre d'imagerie médicale privé</w:t>
            </w:r>
          </w:p>
        </w:tc>
        <w:tc>
          <w:tcPr>
            <w:tcW w:type="dxa" w:w="38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IMG et EXP</w:t>
            </w:r>
          </w:p>
        </w:tc>
      </w:tr>
      <w:tr>
        <w:tc>
          <w:tcPr>
            <w:tcW w:type="dxa" w:w="2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PHARMA</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Pharmacie conventionnée</w:t>
            </w:r>
          </w:p>
        </w:tc>
        <w:tc>
          <w:tcPr>
            <w:tcW w:type="dxa" w:w="38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PHA uniquement</w:t>
            </w:r>
          </w:p>
        </w:tc>
      </w:tr>
    </w:tbl>
    <w:p>
      <w:pPr>
        <w:spacing w:after="0"/>
      </w:pPr>
      <w:r>
        <w:rPr>
          <w:sz w:val="8"/>
          <w:szCs w:val="8"/>
        </w:rPr>
        <w:t xml:space="preserve"/>
      </w:r>
    </w:p>
    <w:p>
      <w:pPr>
        <w:spacing w:after="120" w:before="0" w:line="300"/>
        <w:jc w:val="both"/>
      </w:pPr>
      <w:r>
        <w:rPr>
          <w:rFonts w:ascii="Calibri" w:cs="Calibri" w:eastAsia="Calibri" w:hAnsi="Calibri"/>
          <w:color w:val="2D332F"/>
          <w:sz w:val="22"/>
          <w:szCs w:val="22"/>
        </w:rPr>
        <w:t xml:space="preserve">Le contrôle de spécialisation est appliqué au moment de la sélection des actes pour une PEC : un laboratoire ne peut sélectionner que les actes de catégorie BIO de la nomenclature en vigueur. Cette règle est implémentée à la fois en interface (filtrage) et en validation backend (refus si l'acte n'est pas de la catégorie autorisée).</w:t>
      </w:r>
    </w:p>
    <w:p>
      <w:pPr>
        <w:pStyle w:val="Heading3"/>
        <w:spacing w:after="100" w:before="240"/>
      </w:pPr>
      <w:r>
        <w:rPr>
          <w:rFonts w:ascii="Calibri" w:cs="Calibri" w:eastAsia="Calibri" w:hAnsi="Calibri"/>
          <w:b/>
          <w:bCs/>
          <w:color w:val="1A5D3A"/>
          <w:sz w:val="24"/>
          <w:szCs w:val="24"/>
        </w:rPr>
        <w:t xml:space="preserve">Comptes et rôles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3000"/>
        <w:gridCol w:w="3060"/>
      </w:tblGrid>
      <w:tr>
        <w:trPr>
          <w:tblHeader/>
        </w:trPr>
        <w:tc>
          <w:tcPr>
            <w:tcW w:type="dxa" w:w="33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30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Création</w:t>
            </w:r>
          </w:p>
        </w:tc>
        <w:tc>
          <w:tcPr>
            <w:tcW w:type="dxa" w:w="30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Action</w:t>
            </w:r>
          </w:p>
        </w:tc>
      </w:tr>
      <w:tr>
        <w:tc>
          <w:tcPr>
            <w:tcW w:type="dxa" w:w="33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AGENT_STRUCTURE_PRIV</w:t>
            </w:r>
          </w:p>
        </w:tc>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 le MSHP lors du conventionnement</w:t>
            </w:r>
          </w:p>
        </w:tc>
        <w:tc>
          <w:tcPr>
            <w:tcW w:type="dxa" w:w="3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Crée les PEC, sélectionne les actes selon spécialisation</w:t>
            </w:r>
          </w:p>
        </w:tc>
      </w:tr>
      <w:tr>
        <w:tc>
          <w:tcPr>
            <w:tcW w:type="dxa" w:w="33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AGENT_FACTURATION_STRUCTURE</w:t>
            </w:r>
          </w:p>
        </w:tc>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 le MSHP</w:t>
            </w:r>
          </w:p>
        </w:tc>
        <w:tc>
          <w:tcPr>
            <w:tcW w:type="dxa" w:w="30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Génère les dossiers de remboursement mensuels</w:t>
            </w:r>
          </w:p>
        </w:tc>
      </w:tr>
      <w:tr>
        <w:tc>
          <w:tcPr>
            <w:tcW w:type="dxa" w:w="33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DIRECTEUR_STRUCTURE_PRIV</w:t>
            </w:r>
          </w:p>
        </w:tc>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Optionnel</w:t>
            </w:r>
          </w:p>
        </w:tc>
        <w:tc>
          <w:tcPr>
            <w:tcW w:type="dxa" w:w="3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Valide les dossiers de remboursement avant soumission</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2.6  Cas particulier des pharmacies</w:t>
      </w:r>
    </w:p>
    <w:p>
      <w:pPr>
        <w:spacing w:after="120" w:before="0" w:line="300"/>
        <w:jc w:val="both"/>
      </w:pPr>
      <w:r>
        <w:rPr>
          <w:rFonts w:ascii="Calibri" w:cs="Calibri" w:eastAsia="Calibri" w:hAnsi="Calibri"/>
          <w:color w:val="2D332F"/>
          <w:sz w:val="22"/>
          <w:szCs w:val="22"/>
        </w:rPr>
        <w:t xml:space="preserve">Les pharmacies ne prescrivent pas, elles dispensent des médicaments prescrits ailleurs. Le workflow est le suivant :</w:t>
      </w:r>
    </w:p>
    <w:p>
      <w:pPr>
        <w:pStyle w:val="ListParagraph"/>
        <w:numPr>
          <w:ilvl w:val="0"/>
          <w:numId w:val="3"/>
        </w:numPr>
        <w:spacing w:after="40" w:before="40" w:line="280"/>
      </w:pPr>
      <w:r>
        <w:rPr>
          <w:rFonts w:ascii="Calibri" w:cs="Calibri" w:eastAsia="Calibri" w:hAnsi="Calibri"/>
          <w:color w:val="2D332F"/>
          <w:sz w:val="22"/>
          <w:szCs w:val="22"/>
        </w:rPr>
        <w:t xml:space="preserve">Un médecin prescrit des médicaments lors d'une consultation à l'hôpital ou en clinique. Cette consultation génère une PEC normale avec une ordonnance attachée.</w:t>
      </w:r>
    </w:p>
    <w:p>
      <w:pPr>
        <w:pStyle w:val="ListParagraph"/>
        <w:numPr>
          <w:ilvl w:val="0"/>
          <w:numId w:val="3"/>
        </w:numPr>
        <w:spacing w:after="40" w:before="40" w:line="280"/>
      </w:pPr>
      <w:r>
        <w:rPr>
          <w:rFonts w:ascii="Calibri" w:cs="Calibri" w:eastAsia="Calibri" w:hAnsi="Calibri"/>
          <w:color w:val="2D332F"/>
          <w:sz w:val="22"/>
          <w:szCs w:val="22"/>
        </w:rPr>
        <w:t xml:space="preserve">Le bénéficiaire se rend en pharmacie conventionnée avec son ordonnance (papier ou via QR code généré par la PEC d'origine).</w:t>
      </w:r>
    </w:p>
    <w:p>
      <w:pPr>
        <w:pStyle w:val="ListParagraph"/>
        <w:numPr>
          <w:ilvl w:val="0"/>
          <w:numId w:val="3"/>
        </w:numPr>
        <w:spacing w:after="40" w:before="40" w:line="280"/>
      </w:pPr>
      <w:r>
        <w:rPr>
          <w:rFonts w:ascii="Calibri" w:cs="Calibri" w:eastAsia="Calibri" w:hAnsi="Calibri"/>
          <w:color w:val="2D332F"/>
          <w:sz w:val="22"/>
          <w:szCs w:val="22"/>
        </w:rPr>
        <w:t xml:space="preserve">L'agent pharmacie scanne l'ordonnance ou saisit l'IUS du bénéficiaire et la référence de la prescription.</w:t>
      </w:r>
    </w:p>
    <w:p>
      <w:pPr>
        <w:pStyle w:val="ListParagraph"/>
        <w:numPr>
          <w:ilvl w:val="0"/>
          <w:numId w:val="3"/>
        </w:numPr>
        <w:spacing w:after="40" w:before="40" w:line="280"/>
      </w:pPr>
      <w:r>
        <w:rPr>
          <w:rFonts w:ascii="Calibri" w:cs="Calibri" w:eastAsia="Calibri" w:hAnsi="Calibri"/>
          <w:color w:val="2D332F"/>
          <w:sz w:val="22"/>
          <w:szCs w:val="22"/>
        </w:rPr>
        <w:t xml:space="preserve">Le système vérifie l'éligibilité du bénéficiaire en temps réel et récupère la liste des médicaments prescrits.</w:t>
      </w:r>
    </w:p>
    <w:p>
      <w:pPr>
        <w:pStyle w:val="ListParagraph"/>
        <w:numPr>
          <w:ilvl w:val="0"/>
          <w:numId w:val="3"/>
        </w:numPr>
        <w:spacing w:after="40" w:before="40" w:line="280"/>
      </w:pPr>
      <w:r>
        <w:rPr>
          <w:rFonts w:ascii="Calibri" w:cs="Calibri" w:eastAsia="Calibri" w:hAnsi="Calibri"/>
          <w:color w:val="2D332F"/>
          <w:sz w:val="22"/>
          <w:szCs w:val="22"/>
        </w:rPr>
        <w:t xml:space="preserve">Le pharmacien valide la dispensation acte par acte (un médicament peut être indisponible en stock, ou substitué selon les règles de la nomenclature).</w:t>
      </w:r>
    </w:p>
    <w:p>
      <w:pPr>
        <w:pStyle w:val="ListParagraph"/>
        <w:numPr>
          <w:ilvl w:val="0"/>
          <w:numId w:val="3"/>
        </w:numPr>
        <w:spacing w:after="40" w:before="40" w:line="280"/>
      </w:pPr>
      <w:r>
        <w:rPr>
          <w:rFonts w:ascii="Calibri" w:cs="Calibri" w:eastAsia="Calibri" w:hAnsi="Calibri"/>
          <w:color w:val="2D332F"/>
          <w:sz w:val="22"/>
          <w:szCs w:val="22"/>
        </w:rPr>
        <w:t xml:space="preserve">Une PEC pharmacie indépendante est créée, avec un champ prescription_origine_id pointant vers la PEC qui a généré l'ordonnance. Le calcul de la part CMU/patient suit la règle standard du régime du bénéficiaire.</w:t>
      </w:r>
    </w:p>
    <w:tbl>
      <w:tblPr>
        <w:tblW w:type="dxa" w:w="9360"/>
        <w:tblBorders>
          <w:top w:val="single" w:color="F2DFA4" w:sz="4"/>
          <w:left w:val="single" w:color="C9A227" w:sz="24"/>
          <w:bottom w:val="single" w:color="F2DFA4" w:sz="4"/>
          <w:right w:val="single" w:color="F2DFA4" w:sz="4"/>
          <w:insideH w:val="none" w:color="FFFFFF" w:sz="0"/>
          <w:insideV w:val="none" w:color="FFFFFF" w:sz="0"/>
        </w:tblBorders>
      </w:tblPr>
      <w:tblGrid>
        <w:gridCol w:w="9360"/>
      </w:tblGrid>
      <w:tr>
        <w:tc>
          <w:tcPr>
            <w:tcW w:type="dxa" w:w="9360"/>
            <w:shd w:fill="FEFBF0" w:val="clear"/>
            <w:tcMar>
              <w:top w:type="dxa" w:w="160"/>
              <w:left w:type="dxa" w:w="220"/>
              <w:bottom w:type="dxa" w:w="160"/>
              <w:right w:type="dxa" w:w="220"/>
            </w:tcMar>
          </w:tcPr>
          <w:p>
            <w:pPr>
              <w:spacing w:after="100"/>
            </w:pPr>
            <w:r>
              <w:rPr>
                <w:rFonts w:ascii="Calibri" w:cs="Calibri" w:eastAsia="Calibri" w:hAnsi="Calibri"/>
                <w:b/>
                <w:bCs/>
                <w:color w:val="8B6508"/>
                <w:spacing w:val="40"/>
                <w:sz w:val="18"/>
                <w:szCs w:val="18"/>
              </w:rPr>
              <w:t xml:space="preserve">TRAÇABILITÉ PRESCRIPTION-DISPENSATION</w:t>
            </w:r>
          </w:p>
          <w:p>
            <w:pPr>
              <w:spacing w:after="60" w:line="280"/>
              <w:jc w:val="both"/>
            </w:pPr>
            <w:r>
              <w:rPr>
                <w:rFonts w:ascii="Calibri" w:cs="Calibri" w:eastAsia="Calibri" w:hAnsi="Calibri"/>
                <w:color w:val="2D332F"/>
                <w:sz w:val="22"/>
                <w:szCs w:val="22"/>
              </w:rPr>
              <w:t xml:space="preserve">Le lien prescription_origine_id permet de reconstituer le parcours complet d'un acte : consultation initiale, prescription, dispensation. Il rend possibles les analyses anti-fraude (médicaments dispensés sans prescription valide, prescriptions non honorées) et les statistiques épidémiologiques (médicaments les plus prescrits par pathologie).</w:t>
            </w:r>
          </w:p>
        </w:tc>
      </w:tr>
    </w:tbl>
    <w:p>
      <w:pPr>
        <w:pStyle w:val="Heading2"/>
        <w:spacing w:after="120" w:before="360"/>
      </w:pPr>
      <w:r>
        <w:rPr>
          <w:rFonts w:ascii="Calibri" w:cs="Calibri" w:eastAsia="Calibri" w:hAnsi="Calibri"/>
          <w:b/>
          <w:bCs/>
          <w:color w:val="0F4A2E"/>
          <w:sz w:val="28"/>
          <w:szCs w:val="28"/>
        </w:rPr>
        <w:t xml:space="preserve">2.7  Suspension d'une Société CMU</w:t>
      </w:r>
    </w:p>
    <w:p>
      <w:pPr>
        <w:spacing w:after="120" w:before="0" w:line="300"/>
        <w:jc w:val="both"/>
      </w:pPr>
      <w:r>
        <w:rPr>
          <w:rFonts w:ascii="Calibri" w:cs="Calibri" w:eastAsia="Calibri" w:hAnsi="Calibri"/>
          <w:color w:val="2D332F"/>
          <w:sz w:val="22"/>
          <w:szCs w:val="22"/>
        </w:rPr>
        <w:t xml:space="preserve">La suspension d'une Société CMU est une mesure administrative ministérielle motivée par un manquement (fraude présumée, indicateurs anormaux, non-respect du cahier des charges). Ses effets sont gradués :</w:t>
      </w:r>
    </w:p>
    <w:p>
      <w:pPr>
        <w:pStyle w:val="ListParagraph"/>
        <w:numPr>
          <w:ilvl w:val="0"/>
          <w:numId w:val="2"/>
        </w:numPr>
        <w:spacing w:after="40" w:before="40" w:line="280"/>
      </w:pPr>
      <w:r>
        <w:rPr>
          <w:rFonts w:ascii="Calibri" w:cs="Calibri" w:eastAsia="Calibri" w:hAnsi="Calibri"/>
          <w:b/>
          <w:bCs/>
          <w:color w:val="0F4A2E"/>
          <w:sz w:val="22"/>
          <w:szCs w:val="22"/>
        </w:rPr>
        <w:t xml:space="preserve">Effet immédiat sur les agents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Tous les comptes AGENT_SOCIETE_CMU de la société rattachée passent en INACTIF. Aucun nouvel enrôlement ni encaissement n'est possible.</w:t>
      </w:r>
    </w:p>
    <w:p>
      <w:pPr>
        <w:pStyle w:val="ListParagraph"/>
        <w:numPr>
          <w:ilvl w:val="0"/>
          <w:numId w:val="2"/>
        </w:numPr>
        <w:spacing w:after="40" w:before="40" w:line="280"/>
      </w:pPr>
      <w:r>
        <w:rPr>
          <w:rFonts w:ascii="Calibri" w:cs="Calibri" w:eastAsia="Calibri" w:hAnsi="Calibri"/>
          <w:b/>
          <w:bCs/>
          <w:color w:val="0F4A2E"/>
          <w:sz w:val="22"/>
          <w:szCs w:val="22"/>
        </w:rPr>
        <w:t xml:space="preserve">Effet immédiat sur le gérant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Le compte GERANT_SOCIETE_CMU reste actif en lecture seule pour permettre la défense administrative, mais ne peut plus créer ni modifier d'agents ni de points.</w:t>
      </w:r>
    </w:p>
    <w:p>
      <w:pPr>
        <w:pStyle w:val="ListParagraph"/>
        <w:numPr>
          <w:ilvl w:val="0"/>
          <w:numId w:val="2"/>
        </w:numPr>
        <w:spacing w:after="40" w:before="40" w:line="280"/>
      </w:pPr>
      <w:r>
        <w:rPr>
          <w:rFonts w:ascii="Calibri" w:cs="Calibri" w:eastAsia="Calibri" w:hAnsi="Calibri"/>
          <w:b/>
          <w:bCs/>
          <w:color w:val="0F4A2E"/>
          <w:sz w:val="22"/>
          <w:szCs w:val="22"/>
        </w:rPr>
        <w:t xml:space="preserve">Effet sur les adhérents enrôlés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Aucun. Les adhérents validés restent en statut ACTIF. Ils ne sont pas pénalisés pour la faute administrative de la société qui les a enrôlés.</w:t>
      </w:r>
    </w:p>
    <w:p>
      <w:pPr>
        <w:pStyle w:val="ListParagraph"/>
        <w:numPr>
          <w:ilvl w:val="0"/>
          <w:numId w:val="2"/>
        </w:numPr>
        <w:spacing w:after="40" w:before="40" w:line="280"/>
      </w:pPr>
      <w:r>
        <w:rPr>
          <w:rFonts w:ascii="Calibri" w:cs="Calibri" w:eastAsia="Calibri" w:hAnsi="Calibri"/>
          <w:b/>
          <w:bCs/>
          <w:color w:val="0F4A2E"/>
          <w:sz w:val="22"/>
          <w:szCs w:val="22"/>
        </w:rPr>
        <w:t xml:space="preserve">Effet sur les commissions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Les commissions dues au titre des mois précédant la suspension restent dues. Les commissions au titre du mois de suspension peuvent être gelées en attente de décision.</w:t>
      </w:r>
    </w:p>
    <w:p>
      <w:pPr>
        <w:pStyle w:val="ListParagraph"/>
        <w:numPr>
          <w:ilvl w:val="0"/>
          <w:numId w:val="2"/>
        </w:numPr>
        <w:spacing w:after="40" w:before="40" w:line="280"/>
      </w:pPr>
      <w:r>
        <w:rPr>
          <w:rFonts w:ascii="Calibri" w:cs="Calibri" w:eastAsia="Calibri" w:hAnsi="Calibri"/>
          <w:b/>
          <w:bCs/>
          <w:color w:val="0F4A2E"/>
          <w:sz w:val="22"/>
          <w:szCs w:val="22"/>
        </w:rPr>
        <w:t xml:space="preserve">Re-rattachement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Le ministère peut décider de re-rattacher administrativement les adhérents à une autre Société CMU active de la même zone géographique, sans impact sur leur IUS ni leurs droits.</w:t>
      </w:r>
    </w:p>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3. </w:t>
      </w:r>
      <w:r>
        <w:rPr>
          <w:rFonts w:ascii="Calibri" w:cs="Calibri" w:eastAsia="Calibri" w:hAnsi="Calibri"/>
          <w:b/>
          <w:bCs/>
          <w:color w:val="0A3622"/>
          <w:sz w:val="40"/>
          <w:szCs w:val="40"/>
        </w:rPr>
        <w:t xml:space="preserve">Extensions du modèle de données</w:t>
      </w:r>
    </w:p>
    <w:p>
      <w:pPr>
        <w:spacing w:after="40" w:before="200"/>
      </w:pPr>
      <w:r>
        <w:rPr>
          <w:rFonts w:ascii="Calibri" w:cs="Calibri" w:eastAsia="Calibri" w:hAnsi="Calibri"/>
          <w:b/>
          <w:bCs/>
          <w:color w:val="8B6508"/>
          <w:spacing w:val="40"/>
          <w:sz w:val="16"/>
          <w:szCs w:val="16"/>
        </w:rPr>
        <w:t xml:space="preserve">Nouvelles tables et modifications</w:t>
      </w:r>
    </w:p>
    <w:p>
      <w:pPr>
        <w:spacing w:after="120" w:before="0" w:line="300"/>
        <w:jc w:val="both"/>
      </w:pPr>
      <w:r>
        <w:rPr>
          <w:rFonts w:ascii="Calibri" w:cs="Calibri" w:eastAsia="Calibri" w:hAnsi="Calibri"/>
          <w:color w:val="2D332F"/>
          <w:sz w:val="22"/>
          <w:szCs w:val="22"/>
        </w:rPr>
        <w:t xml:space="preserve">Cette section décrit les modifications à apporter au modèle de données existant. Elle se compose de deux parties : les modifications de tables existantes (ALTER) et les nouvelles tables à créer (CREATE).</w:t>
      </w:r>
    </w:p>
    <w:p>
      <w:pPr>
        <w:pStyle w:val="Heading2"/>
        <w:spacing w:after="120" w:before="360"/>
      </w:pPr>
      <w:r>
        <w:rPr>
          <w:rFonts w:ascii="Calibri" w:cs="Calibri" w:eastAsia="Calibri" w:hAnsi="Calibri"/>
          <w:b/>
          <w:bCs/>
          <w:color w:val="0F4A2E"/>
          <w:sz w:val="28"/>
          <w:szCs w:val="28"/>
        </w:rPr>
        <w:t xml:space="preserve">3.1  Modifications de tables existantes</w:t>
      </w:r>
    </w:p>
    <w:p>
      <w:pPr>
        <w:pStyle w:val="Heading3"/>
        <w:spacing w:after="100" w:before="240"/>
      </w:pPr>
      <w:r>
        <w:rPr>
          <w:rFonts w:ascii="Calibri" w:cs="Calibri" w:eastAsia="Calibri" w:hAnsi="Calibri"/>
          <w:b/>
          <w:bCs/>
          <w:color w:val="1A5D3A"/>
          <w:sz w:val="24"/>
          <w:szCs w:val="24"/>
        </w:rPr>
        <w:t xml:space="preserve">cmu_etablissement</w:t>
      </w:r>
    </w:p>
    <w:p>
      <w:pPr>
        <w:spacing w:after="120" w:before="0" w:line="300"/>
        <w:jc w:val="both"/>
      </w:pPr>
      <w:r>
        <w:rPr>
          <w:rFonts w:ascii="Calibri" w:cs="Calibri" w:eastAsia="Calibri" w:hAnsi="Calibri"/>
          <w:color w:val="2D332F"/>
          <w:sz w:val="22"/>
          <w:szCs w:val="22"/>
        </w:rPr>
        <w:t xml:space="preserve">Ajout des colonnes suivantes pour intégrer les Points CMU et différencier les natures d'établissement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600"/>
        <w:gridCol w:w="2560"/>
      </w:tblGrid>
      <w:tr>
        <w:trPr>
          <w:tblHeader/>
        </w:trPr>
        <w:tc>
          <w:tcPr>
            <w:tcW w:type="dxa" w:w="3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36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2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nature</w:t>
            </w:r>
          </w:p>
        </w:tc>
        <w:tc>
          <w:tcPr>
            <w:tcW w:type="dxa" w:w="36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 NOT NULL DEFAULT 'SOINS'</w:t>
            </w:r>
          </w:p>
        </w:tc>
        <w:tc>
          <w:tcPr>
            <w:tcW w:type="dxa" w:w="2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SOINS ou COLLECTE</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societe_cmu_id</w:t>
            </w:r>
          </w:p>
        </w:tc>
        <w:tc>
          <w:tcPr>
            <w:tcW w:type="dxa" w:w="36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 NULL FK</w:t>
            </w:r>
          </w:p>
        </w:tc>
        <w:tc>
          <w:tcPr>
            <w:tcW w:type="dxa" w:w="2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cmu_societe (renseigné si nature=COLLECTE)</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categories_actes_autorisees</w:t>
            </w:r>
          </w:p>
        </w:tc>
        <w:tc>
          <w:tcPr>
            <w:tcW w:type="dxa" w:w="36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2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Codes catégories séparés par virgule (ex: BIO,IMG)</w:t>
            </w:r>
          </w:p>
        </w:tc>
      </w:tr>
    </w:tbl>
    <w:p>
      <w:pPr>
        <w:spacing w:after="0"/>
      </w:pPr>
      <w:r>
        <w:rPr>
          <w:sz w:val="8"/>
          <w:szCs w:val="8"/>
        </w:rPr>
        <w:t xml:space="preserve"/>
      </w:r>
    </w:p>
    <w:p>
      <w:pPr>
        <w:spacing w:after="120" w:before="0" w:line="300"/>
        <w:jc w:val="both"/>
      </w:pPr>
      <w:r>
        <w:rPr>
          <w:rFonts w:ascii="Calibri" w:cs="Calibri" w:eastAsia="Calibri" w:hAnsi="Calibri"/>
          <w:i/>
          <w:iCs/>
          <w:color w:val="2D332F"/>
          <w:sz w:val="22"/>
          <w:szCs w:val="22"/>
        </w:rPr>
        <w:t xml:space="preserve">La colonne nature permet d'appliquer un filtre simple sur toutes les requêtes existantes pour distinguer les hôpitaux des Points CMU. La colonne categories_actes_autorisees encode la spécialisation pour les structures privées (laboratoire = 'BIO', pharmacie = 'PHA', etc.). Pour les hôpitaux publics et cliniques, cette colonne reste NULL (toutes catégories autorisées).</w:t>
      </w:r>
    </w:p>
    <w:p>
      <w:pPr>
        <w:pStyle w:val="Heading3"/>
        <w:spacing w:after="100" w:before="240"/>
      </w:pPr>
      <w:r>
        <w:rPr>
          <w:rFonts w:ascii="Calibri" w:cs="Calibri" w:eastAsia="Calibri" w:hAnsi="Calibri"/>
          <w:b/>
          <w:bCs/>
          <w:color w:val="1A5D3A"/>
          <w:sz w:val="24"/>
          <w:szCs w:val="24"/>
        </w:rPr>
        <w:t xml:space="preserve">cmu_dossier</w:t>
      </w:r>
    </w:p>
    <w:p>
      <w:pPr>
        <w:spacing w:after="120" w:before="0" w:line="300"/>
        <w:jc w:val="both"/>
      </w:pPr>
      <w:r>
        <w:rPr>
          <w:rFonts w:ascii="Calibri" w:cs="Calibri" w:eastAsia="Calibri" w:hAnsi="Calibri"/>
          <w:color w:val="2D332F"/>
          <w:sz w:val="22"/>
          <w:szCs w:val="22"/>
        </w:rPr>
        <w:t xml:space="preserve">Ajout des colonnes suivantes pour gérer la double validation Société CMU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800"/>
        <w:gridCol w:w="3560"/>
      </w:tblGrid>
      <w:tr>
        <w:trPr>
          <w:tblHeader/>
        </w:trPr>
        <w:tc>
          <w:tcPr>
            <w:tcW w:type="dxa" w:w="30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28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pre_validateur_id</w:t>
            </w:r>
          </w:p>
        </w:tc>
        <w:tc>
          <w:tcPr>
            <w:tcW w:type="dxa" w:w="2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 (superviseur ou gérant société)</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date_pre_validation</w:t>
            </w:r>
          </w:p>
        </w:tc>
        <w:tc>
          <w:tcPr>
            <w:tcW w:type="dxa" w:w="2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 de pré-validation par la société</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agent_societe_id</w:t>
            </w:r>
          </w:p>
        </w:tc>
        <w:tc>
          <w:tcPr>
            <w:tcW w:type="dxa" w:w="2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 (agent société, si enrôlement société)</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origine_enrolement</w:t>
            </w:r>
          </w:p>
        </w:tc>
        <w:tc>
          <w:tcPr>
            <w:tcW w:type="dxa" w:w="2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 NOT NULL DEFAULT 'HOPITAL'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HOPITAL ou SOCIETE_CMU</w:t>
            </w:r>
          </w:p>
        </w:tc>
      </w:tr>
    </w:tbl>
    <w:p>
      <w:pPr>
        <w:spacing w:after="0"/>
      </w:pPr>
      <w:r>
        <w:rPr>
          <w:sz w:val="8"/>
          <w:szCs w:val="8"/>
        </w:rPr>
        <w:t xml:space="preserve"/>
      </w:r>
    </w:p>
    <w:p>
      <w:pPr>
        <w:pStyle w:val="Heading3"/>
        <w:spacing w:after="100" w:before="240"/>
      </w:pPr>
      <w:r>
        <w:rPr>
          <w:rFonts w:ascii="Calibri" w:cs="Calibri" w:eastAsia="Calibri" w:hAnsi="Calibri"/>
          <w:b/>
          <w:bCs/>
          <w:color w:val="1A5D3A"/>
          <w:sz w:val="24"/>
          <w:szCs w:val="24"/>
        </w:rPr>
        <w:t xml:space="preserve">cmu_prise_en_charge</w:t>
      </w:r>
    </w:p>
    <w:p>
      <w:pPr>
        <w:spacing w:after="120" w:before="0" w:line="300"/>
        <w:jc w:val="both"/>
      </w:pPr>
      <w:r>
        <w:rPr>
          <w:rFonts w:ascii="Calibri" w:cs="Calibri" w:eastAsia="Calibri" w:hAnsi="Calibri"/>
          <w:color w:val="2D332F"/>
          <w:sz w:val="22"/>
          <w:szCs w:val="22"/>
        </w:rPr>
        <w:t xml:space="preserve">Ajout d'une colonne pour relier les PEC pharmacie aux prescriptions d'origine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800"/>
        <w:gridCol w:w="3560"/>
      </w:tblGrid>
      <w:tr>
        <w:trPr>
          <w:tblHeader/>
        </w:trPr>
        <w:tc>
          <w:tcPr>
            <w:tcW w:type="dxa" w:w="30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28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prescription_origine_id</w:t>
            </w:r>
          </w:p>
        </w:tc>
        <w:tc>
          <w:tcPr>
            <w:tcW w:type="dxa" w:w="2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cmu_prise_en_charge (NULL si PEC normale)</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3.2  Nouvelle table cmu_societe</w:t>
      </w:r>
    </w:p>
    <w:p>
      <w:pPr>
        <w:spacing w:after="120" w:before="0" w:line="300"/>
        <w:jc w:val="both"/>
      </w:pPr>
      <w:r>
        <w:rPr>
          <w:rFonts w:ascii="Calibri" w:cs="Calibri" w:eastAsia="Calibri" w:hAnsi="Calibri"/>
          <w:color w:val="2D332F"/>
          <w:sz w:val="22"/>
          <w:szCs w:val="22"/>
        </w:rPr>
        <w:t xml:space="preserve">Cette table représente une Société CMU agréée. Une ligne par société existante sur le territoire.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700"/>
        <w:gridCol w:w="4260"/>
      </w:tblGrid>
      <w:tr>
        <w:trPr>
          <w:tblHeader/>
        </w:trPr>
        <w:tc>
          <w:tcPr>
            <w:tcW w:type="dxa" w:w="24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2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42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 PK</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raison_sociale</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 NOT NULL</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 officiel de la société</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nom_commercial</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 commercial si différent</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sigle</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Sigle court</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numero_rccm</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 UNIQUE</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Registre du commerce</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nif</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Numéro d'identification fiscale</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dirigeant_nom</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 du dirigeant légal</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adresse_siege</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telephone</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email</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 NOT NULL</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ACTIF, EN_COURS_AGREMENT, SUSPENDU, INACTIF</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date_agrement</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reference_agrement</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Arrêté d'agrément</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taux_commission</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NUMERIC(5,2)</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Override du taux national (NULL = utiliser cmu_parametre)</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banque_nom</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banque_rib</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banque_libelle_compte</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motif_suspension</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date_suspension</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timestamps</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created_at, updated_at, deleted_at</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3.3  Nouvelle table cmu_convention_structure</w:t>
      </w:r>
    </w:p>
    <w:p>
      <w:pPr>
        <w:spacing w:after="120" w:before="0" w:line="300"/>
        <w:jc w:val="both"/>
      </w:pPr>
      <w:r>
        <w:rPr>
          <w:rFonts w:ascii="Calibri" w:cs="Calibri" w:eastAsia="Calibri" w:hAnsi="Calibri"/>
          <w:color w:val="2D332F"/>
          <w:sz w:val="22"/>
          <w:szCs w:val="22"/>
        </w:rPr>
        <w:t xml:space="preserve">Cette table matérialise la convention signée entre le MSHP et une structure privée conventionnée (clinique, laboratoire, imagerie, pharmacie). Elle complète les informations de cmu_etablissement pour ces établissements spécifiques.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700"/>
        <w:gridCol w:w="4260"/>
      </w:tblGrid>
      <w:tr>
        <w:trPr>
          <w:tblHeader/>
        </w:trPr>
        <w:tc>
          <w:tcPr>
            <w:tcW w:type="dxa" w:w="24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2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42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 PK</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etablissement_id</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 NOT NULL FK UNIQUE</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cmu_etablissement</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sous_type</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 NOT NULL</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CLINIQUE, LABORATOIRE, IMAGERIE, PHARMACIE</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numero_convention</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 UNIQUE</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date_signature</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 NOT NULL</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date_debut_effet</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 NOT NULL</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date_fin_effet</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NULL = sans limite</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 NOT NULL</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ACTIVE, SUSPENDUE, RESILIE, EXPIREE</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specialites_declarees</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Liste libre des spécialités</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nombre_lits</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Pour les cliniques uniquement</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responsable_pharmacien</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Pour les pharmacies (titulaire DIP)</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numero_inscription_ordre</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Numéro à l'ordre professionnel</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timestamps</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3.4  Nouvelle table cmu_commission_societe</w:t>
      </w:r>
    </w:p>
    <w:p>
      <w:pPr>
        <w:spacing w:after="120" w:before="0" w:line="300"/>
        <w:jc w:val="both"/>
      </w:pPr>
      <w:r>
        <w:rPr>
          <w:rFonts w:ascii="Calibri" w:cs="Calibri" w:eastAsia="Calibri" w:hAnsi="Calibri"/>
          <w:color w:val="2D332F"/>
          <w:sz w:val="22"/>
          <w:szCs w:val="22"/>
        </w:rPr>
        <w:t xml:space="preserve">Cette table enregistre les commissions mensuelles dues aux Sociétés CMU. Elle suit un cycle similaire aux dossiers de remboursement hôpital.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700"/>
        <w:gridCol w:w="4260"/>
      </w:tblGrid>
      <w:tr>
        <w:trPr>
          <w:tblHeader/>
        </w:trPr>
        <w:tc>
          <w:tcPr>
            <w:tcW w:type="dxa" w:w="24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2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42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 PK</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numero_commission</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VARCHAR(24) UNIQUE</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 COM-0042-2026-04</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societe_id</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 NOT NULL FK</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cmu_societe</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periode_mois</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CHAR(7) NOT NULL</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YYYY-MM</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nombre_cotisations_encaissees</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 NOT NULL</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montant_cotisations_gnf</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 NOT NULL</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Base de calcul</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taux_commission_applique</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NUMERIC(5,2) NOT NULL</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Snapshot du taux au moment du calcul</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montant_commission_gnf</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 NOT NULL</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Commission due</w:t>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 NOT NULL</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EN_COURS_DE_FINALISATION, SOUMIS, APPROUVE, EN_ATTENTE_PAIEMENT, PAYE</w:t>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date_cloture</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 NOT NULL</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date_soumission</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date_paiement</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reference_virement</w:t>
            </w:r>
          </w:p>
        </w:tc>
        <w:tc>
          <w:tcPr>
            <w:tcW w:type="dxa" w:w="2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timestamps</w:t>
            </w:r>
          </w:p>
        </w:tc>
        <w:tc>
          <w:tcPr>
            <w:tcW w:type="dxa" w:w="2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8"/>
          <w:szCs w:val="8"/>
        </w:rPr>
        <w:t xml:space="preserve"/>
      </w:r>
    </w:p>
    <w:p>
      <w:pPr>
        <w:spacing w:after="120" w:before="0" w:line="300"/>
        <w:jc w:val="both"/>
      </w:pPr>
      <w:r>
        <w:rPr>
          <w:rFonts w:ascii="Calibri" w:cs="Calibri" w:eastAsia="Calibri" w:hAnsi="Calibri"/>
          <w:i/>
          <w:iCs/>
          <w:color w:val="2D332F"/>
          <w:sz w:val="22"/>
          <w:szCs w:val="22"/>
        </w:rPr>
        <w:t xml:space="preserve">Contrainte d'unicité : UNIQUE (societe_id, periode_mois). Une seule commission mensuelle par société.</w:t>
      </w:r>
    </w:p>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4. </w:t>
      </w:r>
      <w:r>
        <w:rPr>
          <w:rFonts w:ascii="Calibri" w:cs="Calibri" w:eastAsia="Calibri" w:hAnsi="Calibri"/>
          <w:b/>
          <w:bCs/>
          <w:color w:val="0A3622"/>
          <w:sz w:val="40"/>
          <w:szCs w:val="40"/>
        </w:rPr>
        <w:t xml:space="preserve">Extension de la matrice de droits</w:t>
      </w:r>
    </w:p>
    <w:p>
      <w:pPr>
        <w:spacing w:after="40" w:before="200"/>
      </w:pPr>
      <w:r>
        <w:rPr>
          <w:rFonts w:ascii="Calibri" w:cs="Calibri" w:eastAsia="Calibri" w:hAnsi="Calibri"/>
          <w:b/>
          <w:bCs/>
          <w:color w:val="8B6508"/>
          <w:spacing w:val="40"/>
          <w:sz w:val="16"/>
          <w:szCs w:val="16"/>
        </w:rPr>
        <w:t xml:space="preserve">Cinq nouveaux rôles</w:t>
      </w:r>
    </w:p>
    <w:p>
      <w:pPr>
        <w:spacing w:after="120" w:before="0" w:line="300"/>
        <w:jc w:val="both"/>
      </w:pPr>
      <w:r>
        <w:rPr>
          <w:rFonts w:ascii="Calibri" w:cs="Calibri" w:eastAsia="Calibri" w:hAnsi="Calibri"/>
          <w:color w:val="2D332F"/>
          <w:sz w:val="22"/>
          <w:szCs w:val="22"/>
        </w:rPr>
        <w:t xml:space="preserve">L'addendum introduit cinq nouveaux rôles dans la plateforme, qui s'ajoutent aux dix rôles existants définis dans la spécification v1.0.</w:t>
      </w:r>
    </w:p>
    <w:p>
      <w:pPr>
        <w:pStyle w:val="Heading2"/>
        <w:spacing w:after="120" w:before="360"/>
      </w:pPr>
      <w:r>
        <w:rPr>
          <w:rFonts w:ascii="Calibri" w:cs="Calibri" w:eastAsia="Calibri" w:hAnsi="Calibri"/>
          <w:b/>
          <w:bCs/>
          <w:color w:val="0F4A2E"/>
          <w:sz w:val="28"/>
          <w:szCs w:val="28"/>
        </w:rPr>
        <w:t xml:space="preserve">4.1  Nouveaux rôles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900"/>
        <w:gridCol w:w="4260"/>
      </w:tblGrid>
      <w:tr>
        <w:trPr>
          <w:tblHeader/>
        </w:trPr>
        <w:tc>
          <w:tcPr>
            <w:tcW w:type="dxa" w:w="3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Code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Portée</w:t>
            </w:r>
          </w:p>
        </w:tc>
        <w:tc>
          <w:tcPr>
            <w:tcW w:type="dxa" w:w="42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GERANT_SOCIETE_CMU</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Société CMU</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Dirige une Société CMU. Crée points et agents, consulte stats.</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SUPERVISEUR_SOCIETE_CMU</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Société CMU</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Pré-valide les dossiers avant transmission ministère (optionnel).</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AGENT_SOCIETE_CMU</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Point CMU</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Enrôle et collecte les cotisations sur le terrain.</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AGENT_STRUCTURE_PRIV</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Structure privée</w:t>
            </w:r>
          </w:p>
        </w:tc>
        <w:tc>
          <w:tcPr>
            <w:tcW w:type="dxa" w:w="4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Crée les PEC dans une structure conventionnée.</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AGENT_FACTURATION_STRUCTURE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Structure privée</w:t>
            </w:r>
          </w:p>
        </w:tc>
        <w:tc>
          <w:tcPr>
            <w:tcW w:type="dxa" w:w="4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Génère les dossiers de remboursement de la structure.</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4.2  Droits sur les nouveaux objets métier</w:t>
      </w:r>
    </w:p>
    <w:p>
      <w:pPr>
        <w:pStyle w:val="Heading3"/>
        <w:spacing w:after="100" w:before="240"/>
      </w:pPr>
      <w:r>
        <w:rPr>
          <w:rFonts w:ascii="Calibri" w:cs="Calibri" w:eastAsia="Calibri" w:hAnsi="Calibri"/>
          <w:b/>
          <w:bCs/>
          <w:color w:val="1A5D3A"/>
          <w:sz w:val="24"/>
          <w:szCs w:val="24"/>
        </w:rPr>
        <w:t xml:space="preserve">Sociétés CMU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1700"/>
        <w:gridCol w:w="1500"/>
        <w:gridCol w:w="1500"/>
        <w:gridCol w:w="1260"/>
      </w:tblGrid>
      <w:tr>
        <w:trPr>
          <w:tblHeader/>
        </w:trPr>
        <w:tc>
          <w:tcPr>
            <w:tcW w:type="dxa" w:w="34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Consulter</w:t>
            </w:r>
          </w:p>
        </w:tc>
        <w:tc>
          <w:tcPr>
            <w:tcW w:type="dxa" w:w="15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Créer</w:t>
            </w:r>
          </w:p>
        </w:tc>
        <w:tc>
          <w:tcPr>
            <w:tcW w:type="dxa" w:w="15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Modifier</w:t>
            </w:r>
          </w:p>
        </w:tc>
        <w:tc>
          <w:tcPr>
            <w:tcW w:type="dxa" w:w="12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Suspendre</w:t>
            </w:r>
          </w:p>
        </w:tc>
      </w:tr>
      <w:tr>
        <w:tc>
          <w:tcPr>
            <w:tcW w:type="dxa" w:w="3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ADMIN_CMU / SUPER_ADMIN_CMU</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GERANT_SOCIETE_CMU</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sa société</w:t>
            </w:r>
          </w:p>
        </w:tc>
        <w:tc>
          <w:tcPr>
            <w:tcW w:type="dxa" w:w="1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sa société</w:t>
            </w:r>
          </w:p>
        </w:tc>
        <w:tc>
          <w:tcPr>
            <w:tcW w:type="dxa" w:w="12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Autres rôles</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2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bl>
    <w:p>
      <w:pPr>
        <w:spacing w:after="0"/>
      </w:pPr>
      <w:r>
        <w:rPr>
          <w:sz w:val="8"/>
          <w:szCs w:val="8"/>
        </w:rPr>
        <w:t xml:space="preserve"/>
      </w:r>
    </w:p>
    <w:p>
      <w:pPr>
        <w:pStyle w:val="Heading3"/>
        <w:spacing w:after="100" w:before="240"/>
      </w:pPr>
      <w:r>
        <w:rPr>
          <w:rFonts w:ascii="Calibri" w:cs="Calibri" w:eastAsia="Calibri" w:hAnsi="Calibri"/>
          <w:b/>
          <w:bCs/>
          <w:color w:val="1A5D3A"/>
          <w:sz w:val="24"/>
          <w:szCs w:val="24"/>
        </w:rPr>
        <w:t xml:space="preserve">Points CMU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2100"/>
        <w:gridCol w:w="2100"/>
        <w:gridCol w:w="1760"/>
      </w:tblGrid>
      <w:tr>
        <w:trPr>
          <w:tblHeader/>
        </w:trPr>
        <w:tc>
          <w:tcPr>
            <w:tcW w:type="dxa" w:w="34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21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Consulter</w:t>
            </w:r>
          </w:p>
        </w:tc>
        <w:tc>
          <w:tcPr>
            <w:tcW w:type="dxa" w:w="21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Créer</w:t>
            </w:r>
          </w:p>
        </w:tc>
        <w:tc>
          <w:tcPr>
            <w:tcW w:type="dxa" w:w="17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Modifier</w:t>
            </w:r>
          </w:p>
        </w:tc>
      </w:tr>
      <w:tr>
        <w:tc>
          <w:tcPr>
            <w:tcW w:type="dxa" w:w="3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ADMIN_CMU</w:t>
            </w:r>
          </w:p>
        </w:tc>
        <w:tc>
          <w:tcPr>
            <w:tcW w:type="dxa" w:w="21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21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supervisor</w:t>
            </w:r>
          </w:p>
        </w:tc>
      </w:tr>
      <w:tr>
        <w:tc>
          <w:tcPr>
            <w:tcW w:type="dxa" w:w="3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GERANT_SOCIETE_CMU</w:t>
            </w:r>
          </w:p>
        </w:tc>
        <w:tc>
          <w:tcPr>
            <w:tcW w:type="dxa" w:w="21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sa société</w:t>
            </w:r>
          </w:p>
        </w:tc>
        <w:tc>
          <w:tcPr>
            <w:tcW w:type="dxa" w:w="21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dans sa société</w:t>
            </w:r>
          </w:p>
        </w:tc>
        <w:tc>
          <w:tcPr>
            <w:tcW w:type="dxa" w:w="17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ses points</w:t>
            </w:r>
          </w:p>
        </w:tc>
      </w:tr>
      <w:tr>
        <w:tc>
          <w:tcPr>
            <w:tcW w:type="dxa" w:w="3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AGENT_SOCIETE_CMU</w:t>
            </w:r>
          </w:p>
        </w:tc>
        <w:tc>
          <w:tcPr>
            <w:tcW w:type="dxa" w:w="21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point</w:t>
            </w:r>
          </w:p>
        </w:tc>
        <w:tc>
          <w:tcPr>
            <w:tcW w:type="dxa" w:w="21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bl>
    <w:p>
      <w:pPr>
        <w:spacing w:after="0"/>
      </w:pPr>
      <w:r>
        <w:rPr>
          <w:sz w:val="8"/>
          <w:szCs w:val="8"/>
        </w:rPr>
        <w:t xml:space="preserve"/>
      </w:r>
    </w:p>
    <w:p>
      <w:pPr>
        <w:pStyle w:val="Heading3"/>
        <w:spacing w:after="100" w:before="240"/>
      </w:pPr>
      <w:r>
        <w:rPr>
          <w:rFonts w:ascii="Calibri" w:cs="Calibri" w:eastAsia="Calibri" w:hAnsi="Calibri"/>
          <w:b/>
          <w:bCs/>
          <w:color w:val="1A5D3A"/>
          <w:sz w:val="24"/>
          <w:szCs w:val="24"/>
        </w:rPr>
        <w:t xml:space="preserve">Commissions Société CMU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700"/>
        <w:gridCol w:w="1700"/>
        <w:gridCol w:w="1500"/>
        <w:gridCol w:w="1460"/>
      </w:tblGrid>
      <w:tr>
        <w:trPr>
          <w:tblHeader/>
        </w:trPr>
        <w:tc>
          <w:tcPr>
            <w:tcW w:type="dxa" w:w="30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Consulter</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Soumettre</w:t>
            </w:r>
          </w:p>
        </w:tc>
        <w:tc>
          <w:tcPr>
            <w:tcW w:type="dxa" w:w="15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Instruire</w:t>
            </w:r>
          </w:p>
        </w:tc>
        <w:tc>
          <w:tcPr>
            <w:tcW w:type="dxa" w:w="14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Payer</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GERANT_SOCIETE_CMU</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sa société</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sa société</w:t>
            </w:r>
          </w:p>
        </w:tc>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CAISSE_NATIONALE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national</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ADMIN_CMU</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4.3  Vue d'ensemble des 15 rôles de la plateforme</w:t>
      </w:r>
    </w:p>
    <w:p>
      <w:pPr>
        <w:spacing w:after="120" w:before="0" w:line="300"/>
        <w:jc w:val="both"/>
      </w:pPr>
      <w:r>
        <w:rPr>
          <w:rFonts w:ascii="Calibri" w:cs="Calibri" w:eastAsia="Calibri" w:hAnsi="Calibri"/>
          <w:color w:val="2D332F"/>
          <w:sz w:val="22"/>
          <w:szCs w:val="22"/>
        </w:rPr>
        <w:t xml:space="preserve">Au total, la plateforme CMU dispose désormais de 15 rôles distincts, organisés en quatre familles :</w:t>
      </w:r>
    </w:p>
    <w:p>
      <w:pPr>
        <w:pStyle w:val="ListParagraph"/>
        <w:numPr>
          <w:ilvl w:val="0"/>
          <w:numId w:val="2"/>
        </w:numPr>
        <w:spacing w:after="40" w:before="40" w:line="280"/>
      </w:pPr>
      <w:r>
        <w:rPr>
          <w:rFonts w:ascii="Calibri" w:cs="Calibri" w:eastAsia="Calibri" w:hAnsi="Calibri"/>
          <w:b/>
          <w:bCs/>
          <w:color w:val="0F4A2E"/>
          <w:sz w:val="22"/>
          <w:szCs w:val="22"/>
        </w:rPr>
        <w:t xml:space="preserve">Famille gouvernance (5 rôles)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SUPER_ADMIN_CMU, ADMIN_CMU, VALIDATEUR_CENTRAL, COMMISSION_RAM, CAISSE_NATIONALE</w:t>
      </w:r>
    </w:p>
    <w:p>
      <w:pPr>
        <w:pStyle w:val="ListParagraph"/>
        <w:numPr>
          <w:ilvl w:val="0"/>
          <w:numId w:val="2"/>
        </w:numPr>
        <w:spacing w:after="40" w:before="40" w:line="280"/>
      </w:pPr>
      <w:r>
        <w:rPr>
          <w:rFonts w:ascii="Calibri" w:cs="Calibri" w:eastAsia="Calibri" w:hAnsi="Calibri"/>
          <w:b/>
          <w:bCs/>
          <w:color w:val="0F4A2E"/>
          <w:sz w:val="22"/>
          <w:szCs w:val="22"/>
        </w:rPr>
        <w:t xml:space="preserve">Famille terrain MASS et supervision (2 rôles)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AGENT_SOCIAL_RAM, SUPERVISEUR_REGIONAL</w:t>
      </w:r>
    </w:p>
    <w:p>
      <w:pPr>
        <w:pStyle w:val="ListParagraph"/>
        <w:numPr>
          <w:ilvl w:val="0"/>
          <w:numId w:val="2"/>
        </w:numPr>
        <w:spacing w:after="40" w:before="40" w:line="280"/>
      </w:pPr>
      <w:r>
        <w:rPr>
          <w:rFonts w:ascii="Calibri" w:cs="Calibri" w:eastAsia="Calibri" w:hAnsi="Calibri"/>
          <w:b/>
          <w:bCs/>
          <w:color w:val="0F4A2E"/>
          <w:sz w:val="22"/>
          <w:szCs w:val="22"/>
        </w:rPr>
        <w:t xml:space="preserve">Famille établissement de soins (3 rôles)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AGENT_CMU_ENROLEMENT, AGENT_CMU_FACTURATION, DIRECTEUR_ETABLISSEMENT</w:t>
      </w:r>
    </w:p>
    <w:p>
      <w:pPr>
        <w:pStyle w:val="ListParagraph"/>
        <w:numPr>
          <w:ilvl w:val="0"/>
          <w:numId w:val="2"/>
        </w:numPr>
        <w:spacing w:after="40" w:before="40" w:line="280"/>
      </w:pPr>
      <w:r>
        <w:rPr>
          <w:rFonts w:ascii="Calibri" w:cs="Calibri" w:eastAsia="Calibri" w:hAnsi="Calibri"/>
          <w:b/>
          <w:bCs/>
          <w:color w:val="0F4A2E"/>
          <w:sz w:val="22"/>
          <w:szCs w:val="22"/>
        </w:rPr>
        <w:t xml:space="preserve">Famille Société CMU (3 rôles)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GERANT_SOCIETE_CMU, SUPERVISEUR_SOCIETE_CMU, AGENT_SOCIETE_CMU</w:t>
      </w:r>
    </w:p>
    <w:p>
      <w:pPr>
        <w:pStyle w:val="ListParagraph"/>
        <w:numPr>
          <w:ilvl w:val="0"/>
          <w:numId w:val="2"/>
        </w:numPr>
        <w:spacing w:after="40" w:before="40" w:line="280"/>
      </w:pPr>
      <w:r>
        <w:rPr>
          <w:rFonts w:ascii="Calibri" w:cs="Calibri" w:eastAsia="Calibri" w:hAnsi="Calibri"/>
          <w:b/>
          <w:bCs/>
          <w:color w:val="0F4A2E"/>
          <w:sz w:val="22"/>
          <w:szCs w:val="22"/>
        </w:rPr>
        <w:t xml:space="preserve">Famille structures privées (2 rôles)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AGENT_STRUCTURE_PRIV, AGENT_FACTURATION_STRUCTURE</w:t>
      </w:r>
    </w:p>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5. </w:t>
      </w:r>
      <w:r>
        <w:rPr>
          <w:rFonts w:ascii="Calibri" w:cs="Calibri" w:eastAsia="Calibri" w:hAnsi="Calibri"/>
          <w:b/>
          <w:bCs/>
          <w:color w:val="0A3622"/>
          <w:sz w:val="40"/>
          <w:szCs w:val="40"/>
        </w:rPr>
        <w:t xml:space="preserve">Nouveaux écrans à produire</w:t>
      </w:r>
    </w:p>
    <w:p>
      <w:pPr>
        <w:spacing w:after="40" w:before="200"/>
      </w:pPr>
      <w:r>
        <w:rPr>
          <w:rFonts w:ascii="Calibri" w:cs="Calibri" w:eastAsia="Calibri" w:hAnsi="Calibri"/>
          <w:b/>
          <w:bCs/>
          <w:color w:val="8B6508"/>
          <w:spacing w:val="40"/>
          <w:sz w:val="16"/>
          <w:szCs w:val="16"/>
        </w:rPr>
        <w:t xml:space="preserve">Mise à jour de l'expérience utilisateur</w:t>
      </w:r>
    </w:p>
    <w:p>
      <w:pPr>
        <w:spacing w:after="120" w:before="0" w:line="300"/>
        <w:jc w:val="both"/>
      </w:pPr>
      <w:r>
        <w:rPr>
          <w:rFonts w:ascii="Calibri" w:cs="Calibri" w:eastAsia="Calibri" w:hAnsi="Calibri"/>
          <w:color w:val="2D332F"/>
          <w:sz w:val="22"/>
          <w:szCs w:val="22"/>
        </w:rPr>
        <w:t xml:space="preserve">L'addendum introduit plusieurs nouveaux écrans répartis sur trois espaces d'utilisation. Tous les écrans respectent la charte graphique CMU établie : bande tricolore, palette officielle, typographies Playfair Display et Manrope, composants Blade existants.</w:t>
      </w:r>
    </w:p>
    <w:p>
      <w:pPr>
        <w:pStyle w:val="Heading2"/>
        <w:spacing w:after="120" w:before="360"/>
      </w:pPr>
      <w:r>
        <w:rPr>
          <w:rFonts w:ascii="Calibri" w:cs="Calibri" w:eastAsia="Calibri" w:hAnsi="Calibri"/>
          <w:b/>
          <w:bCs/>
          <w:color w:val="0F4A2E"/>
          <w:sz w:val="28"/>
          <w:szCs w:val="28"/>
        </w:rPr>
        <w:t xml:space="preserve">5.1  Espace administration centrale ministère</w:t>
      </w:r>
    </w:p>
    <w:p>
      <w:pPr>
        <w:pStyle w:val="ListParagraph"/>
        <w:numPr>
          <w:ilvl w:val="0"/>
          <w:numId w:val="2"/>
        </w:numPr>
        <w:spacing w:after="40" w:before="40" w:line="280"/>
      </w:pPr>
      <w:r>
        <w:rPr>
          <w:rFonts w:ascii="Calibri" w:cs="Calibri" w:eastAsia="Calibri" w:hAnsi="Calibri"/>
          <w:b/>
          <w:bCs/>
          <w:color w:val="0F4A2E"/>
          <w:sz w:val="22"/>
          <w:szCs w:val="22"/>
        </w:rPr>
        <w:t xml:space="preserve">Gestion des Sociétés CMU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Liste, filtres par statut/région, fiche détaillée avec stats consolidées, action d'agrément et de suspension</w:t>
      </w:r>
    </w:p>
    <w:p>
      <w:pPr>
        <w:pStyle w:val="ListParagraph"/>
        <w:numPr>
          <w:ilvl w:val="0"/>
          <w:numId w:val="2"/>
        </w:numPr>
        <w:spacing w:after="40" w:before="40" w:line="280"/>
      </w:pPr>
      <w:r>
        <w:rPr>
          <w:rFonts w:ascii="Calibri" w:cs="Calibri" w:eastAsia="Calibri" w:hAnsi="Calibri"/>
          <w:b/>
          <w:bCs/>
          <w:color w:val="0F4A2E"/>
          <w:sz w:val="22"/>
          <w:szCs w:val="22"/>
        </w:rPr>
        <w:t xml:space="preserve">Détail d'une Société CMU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Vue complète d'une société : informations légales, Points CMU rattachés, agents, performance, commissions versées, dossiers enrôlés</w:t>
      </w:r>
    </w:p>
    <w:p>
      <w:pPr>
        <w:pStyle w:val="ListParagraph"/>
        <w:numPr>
          <w:ilvl w:val="0"/>
          <w:numId w:val="2"/>
        </w:numPr>
        <w:spacing w:after="40" w:before="40" w:line="280"/>
      </w:pPr>
      <w:r>
        <w:rPr>
          <w:rFonts w:ascii="Calibri" w:cs="Calibri" w:eastAsia="Calibri" w:hAnsi="Calibri"/>
          <w:b/>
          <w:bCs/>
          <w:color w:val="0F4A2E"/>
          <w:sz w:val="22"/>
          <w:szCs w:val="22"/>
        </w:rPr>
        <w:t xml:space="preserve">Gestion des structures conventionnées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Liste filtrable par sous-type (clinique, labo, imagerie, pharmacie), conventionnement, fiche détaillée</w:t>
      </w:r>
    </w:p>
    <w:p>
      <w:pPr>
        <w:pStyle w:val="ListParagraph"/>
        <w:numPr>
          <w:ilvl w:val="0"/>
          <w:numId w:val="2"/>
        </w:numPr>
        <w:spacing w:after="40" w:before="40" w:line="280"/>
      </w:pPr>
      <w:r>
        <w:rPr>
          <w:rFonts w:ascii="Calibri" w:cs="Calibri" w:eastAsia="Calibri" w:hAnsi="Calibri"/>
          <w:b/>
          <w:bCs/>
          <w:color w:val="0F4A2E"/>
          <w:sz w:val="22"/>
          <w:szCs w:val="22"/>
        </w:rPr>
        <w:t xml:space="preserve">Détail d'une structure conventionnée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Convention, agents, PEC réalisées, dossiers de remboursement, statistiques par période</w:t>
      </w:r>
    </w:p>
    <w:p>
      <w:pPr>
        <w:pStyle w:val="Heading2"/>
        <w:spacing w:after="120" w:before="360"/>
      </w:pPr>
      <w:r>
        <w:rPr>
          <w:rFonts w:ascii="Calibri" w:cs="Calibri" w:eastAsia="Calibri" w:hAnsi="Calibri"/>
          <w:b/>
          <w:bCs/>
          <w:color w:val="0F4A2E"/>
          <w:sz w:val="28"/>
          <w:szCs w:val="28"/>
        </w:rPr>
        <w:t xml:space="preserve">5.2  Espace Société CMU</w:t>
      </w:r>
    </w:p>
    <w:p>
      <w:pPr>
        <w:pStyle w:val="ListParagraph"/>
        <w:numPr>
          <w:ilvl w:val="0"/>
          <w:numId w:val="2"/>
        </w:numPr>
        <w:spacing w:after="40" w:before="40" w:line="280"/>
      </w:pPr>
      <w:r>
        <w:rPr>
          <w:rFonts w:ascii="Calibri" w:cs="Calibri" w:eastAsia="Calibri" w:hAnsi="Calibri"/>
          <w:b/>
          <w:bCs/>
          <w:color w:val="0F4A2E"/>
          <w:sz w:val="22"/>
          <w:szCs w:val="22"/>
        </w:rPr>
        <w:t xml:space="preserve">Dashboard gérant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KPIs : adhérents enrôlés, cotisations collectées, taux échec prélèvements, commission perçue, performance par point et par agent</w:t>
      </w:r>
    </w:p>
    <w:p>
      <w:pPr>
        <w:pStyle w:val="ListParagraph"/>
        <w:numPr>
          <w:ilvl w:val="0"/>
          <w:numId w:val="2"/>
        </w:numPr>
        <w:spacing w:after="40" w:before="40" w:line="280"/>
      </w:pPr>
      <w:r>
        <w:rPr>
          <w:rFonts w:ascii="Calibri" w:cs="Calibri" w:eastAsia="Calibri" w:hAnsi="Calibri"/>
          <w:b/>
          <w:bCs/>
          <w:color w:val="0F4A2E"/>
          <w:sz w:val="22"/>
          <w:szCs w:val="22"/>
        </w:rPr>
        <w:t xml:space="preserve">Gestion des Points CMU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Liste, création, édition, géolocalisation des points</w:t>
      </w:r>
    </w:p>
    <w:p>
      <w:pPr>
        <w:pStyle w:val="ListParagraph"/>
        <w:numPr>
          <w:ilvl w:val="0"/>
          <w:numId w:val="2"/>
        </w:numPr>
        <w:spacing w:after="40" w:before="40" w:line="280"/>
      </w:pPr>
      <w:r>
        <w:rPr>
          <w:rFonts w:ascii="Calibri" w:cs="Calibri" w:eastAsia="Calibri" w:hAnsi="Calibri"/>
          <w:b/>
          <w:bCs/>
          <w:color w:val="0F4A2E"/>
          <w:sz w:val="22"/>
          <w:szCs w:val="22"/>
        </w:rPr>
        <w:t xml:space="preserve">Gestion des agents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Création de comptes AGENT_SOCIETE_CMU, rattachement à un point, désactivation</w:t>
      </w:r>
    </w:p>
    <w:p>
      <w:pPr>
        <w:pStyle w:val="ListParagraph"/>
        <w:numPr>
          <w:ilvl w:val="0"/>
          <w:numId w:val="2"/>
        </w:numPr>
        <w:spacing w:after="40" w:before="40" w:line="280"/>
      </w:pPr>
      <w:r>
        <w:rPr>
          <w:rFonts w:ascii="Calibri" w:cs="Calibri" w:eastAsia="Calibri" w:hAnsi="Calibri"/>
          <w:b/>
          <w:bCs/>
          <w:color w:val="0F4A2E"/>
          <w:sz w:val="22"/>
          <w:szCs w:val="22"/>
        </w:rPr>
        <w:t xml:space="preserve">File de pré-validation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Pour les Sociétés avec rôle SUPERVISEUR_SOCIETE_CMU : dossiers SOUMIS_SOCIETE à pré-valider</w:t>
      </w:r>
    </w:p>
    <w:p>
      <w:pPr>
        <w:pStyle w:val="ListParagraph"/>
        <w:numPr>
          <w:ilvl w:val="0"/>
          <w:numId w:val="2"/>
        </w:numPr>
        <w:spacing w:after="40" w:before="40" w:line="280"/>
      </w:pPr>
      <w:r>
        <w:rPr>
          <w:rFonts w:ascii="Calibri" w:cs="Calibri" w:eastAsia="Calibri" w:hAnsi="Calibri"/>
          <w:b/>
          <w:bCs/>
          <w:color w:val="0F4A2E"/>
          <w:sz w:val="22"/>
          <w:szCs w:val="22"/>
        </w:rPr>
        <w:t xml:space="preserve">Suivi des commissions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Liste des dossiers de commission mensuels, statut, montants, avis de paiement</w:t>
      </w:r>
    </w:p>
    <w:p>
      <w:pPr>
        <w:pStyle w:val="Heading2"/>
        <w:spacing w:after="120" w:before="360"/>
      </w:pPr>
      <w:r>
        <w:rPr>
          <w:rFonts w:ascii="Calibri" w:cs="Calibri" w:eastAsia="Calibri" w:hAnsi="Calibri"/>
          <w:b/>
          <w:bCs/>
          <w:color w:val="0F4A2E"/>
          <w:sz w:val="28"/>
          <w:szCs w:val="28"/>
        </w:rPr>
        <w:t xml:space="preserve">5.3  Espace agent Société CMU</w:t>
      </w:r>
    </w:p>
    <w:p>
      <w:pPr>
        <w:pStyle w:val="ListParagraph"/>
        <w:numPr>
          <w:ilvl w:val="0"/>
          <w:numId w:val="2"/>
        </w:numPr>
        <w:spacing w:after="40" w:before="40" w:line="280"/>
      </w:pPr>
      <w:r>
        <w:rPr>
          <w:rFonts w:ascii="Calibri" w:cs="Calibri" w:eastAsia="Calibri" w:hAnsi="Calibri"/>
          <w:b/>
          <w:bCs/>
          <w:color w:val="0F4A2E"/>
          <w:sz w:val="22"/>
          <w:szCs w:val="22"/>
        </w:rPr>
        <w:t xml:space="preserve">Tableau de bord agent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Vue restreinte au point CMU de rattachement : dossiers en cours, validés, ce mois, ma performance</w:t>
      </w:r>
    </w:p>
    <w:p>
      <w:pPr>
        <w:pStyle w:val="ListParagraph"/>
        <w:numPr>
          <w:ilvl w:val="0"/>
          <w:numId w:val="2"/>
        </w:numPr>
        <w:spacing w:after="40" w:before="40" w:line="280"/>
      </w:pPr>
      <w:r>
        <w:rPr>
          <w:rFonts w:ascii="Calibri" w:cs="Calibri" w:eastAsia="Calibri" w:hAnsi="Calibri"/>
          <w:b/>
          <w:bCs/>
          <w:color w:val="0F4A2E"/>
          <w:sz w:val="22"/>
          <w:szCs w:val="22"/>
        </w:rPr>
        <w:t xml:space="preserve">Enrôlement Société CMU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Adaptation du wizard 5 étapes existant pour intégrer l'origine SOCIETE_CMU et le pré-validation à venir</w:t>
      </w:r>
    </w:p>
    <w:p>
      <w:pPr>
        <w:pStyle w:val="ListParagraph"/>
        <w:numPr>
          <w:ilvl w:val="0"/>
          <w:numId w:val="2"/>
        </w:numPr>
        <w:spacing w:after="40" w:before="40" w:line="280"/>
      </w:pPr>
      <w:r>
        <w:rPr>
          <w:rFonts w:ascii="Calibri" w:cs="Calibri" w:eastAsia="Calibri" w:hAnsi="Calibri"/>
          <w:b/>
          <w:bCs/>
          <w:color w:val="0F4A2E"/>
          <w:sz w:val="22"/>
          <w:szCs w:val="22"/>
        </w:rPr>
        <w:t xml:space="preserve">Recherche bénéficiaire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Pour vérifier l'éligibilité d'un adhérent et l'aider à régulariser ses cotisations</w:t>
      </w:r>
    </w:p>
    <w:p>
      <w:pPr>
        <w:pStyle w:val="Heading2"/>
        <w:spacing w:after="120" w:before="360"/>
      </w:pPr>
      <w:r>
        <w:rPr>
          <w:rFonts w:ascii="Calibri" w:cs="Calibri" w:eastAsia="Calibri" w:hAnsi="Calibri"/>
          <w:b/>
          <w:bCs/>
          <w:color w:val="0F4A2E"/>
          <w:sz w:val="28"/>
          <w:szCs w:val="28"/>
        </w:rPr>
        <w:t xml:space="preserve">5.4  Espace structures privées conventionnées</w:t>
      </w:r>
    </w:p>
    <w:p>
      <w:pPr>
        <w:pStyle w:val="ListParagraph"/>
        <w:numPr>
          <w:ilvl w:val="0"/>
          <w:numId w:val="2"/>
        </w:numPr>
        <w:spacing w:after="40" w:before="40" w:line="280"/>
      </w:pPr>
      <w:r>
        <w:rPr>
          <w:rFonts w:ascii="Calibri" w:cs="Calibri" w:eastAsia="Calibri" w:hAnsi="Calibri"/>
          <w:b/>
          <w:bCs/>
          <w:color w:val="0F4A2E"/>
          <w:sz w:val="22"/>
          <w:szCs w:val="22"/>
        </w:rPr>
        <w:t xml:space="preserve">Dashboard agent structure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Adapté selon le sous-type : pharmacie voit les ordonnances à honorer, labo voit les examens à réaliser, etc.</w:t>
      </w:r>
    </w:p>
    <w:p>
      <w:pPr>
        <w:pStyle w:val="ListParagraph"/>
        <w:numPr>
          <w:ilvl w:val="0"/>
          <w:numId w:val="2"/>
        </w:numPr>
        <w:spacing w:after="40" w:before="40" w:line="280"/>
      </w:pPr>
      <w:r>
        <w:rPr>
          <w:rFonts w:ascii="Calibri" w:cs="Calibri" w:eastAsia="Calibri" w:hAnsi="Calibri"/>
          <w:b/>
          <w:bCs/>
          <w:color w:val="0F4A2E"/>
          <w:sz w:val="22"/>
          <w:szCs w:val="22"/>
        </w:rPr>
        <w:t xml:space="preserve">Recherche d'ordonnance (pharmacie)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Scan QR ordonnance ou saisie IUS + référence prescription, affichage des médicaments à dispenser</w:t>
      </w:r>
    </w:p>
    <w:p>
      <w:pPr>
        <w:pStyle w:val="ListParagraph"/>
        <w:numPr>
          <w:ilvl w:val="0"/>
          <w:numId w:val="2"/>
        </w:numPr>
        <w:spacing w:after="40" w:before="40" w:line="280"/>
      </w:pPr>
      <w:r>
        <w:rPr>
          <w:rFonts w:ascii="Calibri" w:cs="Calibri" w:eastAsia="Calibri" w:hAnsi="Calibri"/>
          <w:b/>
          <w:bCs/>
          <w:color w:val="0F4A2E"/>
          <w:sz w:val="22"/>
          <w:szCs w:val="22"/>
        </w:rPr>
        <w:t xml:space="preserve">PEC laboratoire / imagerie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Variante de l'écran PEC existant filtré sur la catégorie autorisée</w:t>
      </w:r>
    </w:p>
    <w:p>
      <w:pPr>
        <w:pStyle w:val="ListParagraph"/>
        <w:numPr>
          <w:ilvl w:val="0"/>
          <w:numId w:val="2"/>
        </w:numPr>
        <w:spacing w:after="40" w:before="40" w:line="280"/>
      </w:pPr>
      <w:r>
        <w:rPr>
          <w:rFonts w:ascii="Calibri" w:cs="Calibri" w:eastAsia="Calibri" w:hAnsi="Calibri"/>
          <w:b/>
          <w:bCs/>
          <w:color w:val="0F4A2E"/>
          <w:sz w:val="22"/>
          <w:szCs w:val="22"/>
        </w:rPr>
        <w:t xml:space="preserve">Dashboard facturation structure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Identique à celui des hôpitaux, adapté au volume et au sous-type</w:t>
      </w:r>
    </w:p>
    <w:p>
      <w:pPr>
        <w:pStyle w:val="Heading2"/>
        <w:spacing w:after="120" w:before="360"/>
      </w:pPr>
      <w:r>
        <w:rPr>
          <w:rFonts w:ascii="Calibri" w:cs="Calibri" w:eastAsia="Calibri" w:hAnsi="Calibri"/>
          <w:b/>
          <w:bCs/>
          <w:color w:val="0F4A2E"/>
          <w:sz w:val="28"/>
          <w:szCs w:val="28"/>
        </w:rPr>
        <w:t xml:space="preserve">5.5  Évolutions de l'écran de connexion</w:t>
      </w:r>
    </w:p>
    <w:p>
      <w:pPr>
        <w:spacing w:after="120" w:before="0" w:line="300"/>
        <w:jc w:val="both"/>
      </w:pPr>
      <w:r>
        <w:rPr>
          <w:rFonts w:ascii="Calibri" w:cs="Calibri" w:eastAsia="Calibri" w:hAnsi="Calibri"/>
          <w:color w:val="2D332F"/>
          <w:sz w:val="22"/>
          <w:szCs w:val="22"/>
        </w:rPr>
        <w:t xml:space="preserve">L'écran de connexion existant doit évoluer pour accueillir les nouveaux profils d'utilisateurs. L'approche retenue conserve l'esthétique institutionnelle de la maquette de référence mais simplifie le sélecteur de profil.</w:t>
      </w:r>
    </w:p>
    <w:p>
      <w:pPr>
        <w:pStyle w:val="ListParagraph"/>
        <w:numPr>
          <w:ilvl w:val="0"/>
          <w:numId w:val="2"/>
        </w:numPr>
        <w:spacing w:after="40" w:before="40" w:line="280"/>
      </w:pPr>
      <w:r>
        <w:rPr>
          <w:rFonts w:ascii="Calibri" w:cs="Calibri" w:eastAsia="Calibri" w:hAnsi="Calibri"/>
          <w:b/>
          <w:bCs/>
          <w:color w:val="0F4A2E"/>
          <w:sz w:val="22"/>
          <w:szCs w:val="22"/>
        </w:rPr>
        <w:t xml:space="preserve">Suppression des libellés de profil précis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Plus de mention 'Agent CMU / Validateur / Administrateur' à l'affichage</w:t>
      </w:r>
    </w:p>
    <w:p>
      <w:pPr>
        <w:pStyle w:val="ListParagraph"/>
        <w:numPr>
          <w:ilvl w:val="0"/>
          <w:numId w:val="2"/>
        </w:numPr>
        <w:spacing w:after="40" w:before="40" w:line="280"/>
      </w:pPr>
      <w:r>
        <w:rPr>
          <w:rFonts w:ascii="Calibri" w:cs="Calibri" w:eastAsia="Calibri" w:hAnsi="Calibri"/>
          <w:b/>
          <w:bCs/>
          <w:color w:val="0F4A2E"/>
          <w:sz w:val="22"/>
          <w:szCs w:val="22"/>
        </w:rPr>
        <w:t xml:space="preserve">Conservation visuelle du sélecteur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Garde la disposition graphique mais avec des intitulés génériques ou supprime entièrement les pastilles</w:t>
      </w:r>
    </w:p>
    <w:p>
      <w:pPr>
        <w:pStyle w:val="ListParagraph"/>
        <w:numPr>
          <w:ilvl w:val="0"/>
          <w:numId w:val="2"/>
        </w:numPr>
        <w:spacing w:after="40" w:before="40" w:line="280"/>
      </w:pPr>
      <w:r>
        <w:rPr>
          <w:rFonts w:ascii="Calibri" w:cs="Calibri" w:eastAsia="Calibri" w:hAnsi="Calibri"/>
          <w:b/>
          <w:bCs/>
          <w:color w:val="0F4A2E"/>
          <w:sz w:val="22"/>
          <w:szCs w:val="22"/>
        </w:rPr>
        <w:t xml:space="preserve">Routage automatique post-authentification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Le système détermine le rôle principal de l'utilisateur et redirige vers l'espace approprié (dashboard hôpital, dashboard société, espace ministère, espace structure conventionnée, etc.)</w:t>
      </w:r>
    </w:p>
    <w:tbl>
      <w:tblPr>
        <w:tblW w:type="dxa" w:w="9360"/>
        <w:tblBorders>
          <w:top w:val="single" w:color="F2DFA4" w:sz="4"/>
          <w:left w:val="single" w:color="C9A227" w:sz="24"/>
          <w:bottom w:val="single" w:color="F2DFA4" w:sz="4"/>
          <w:right w:val="single" w:color="F2DFA4" w:sz="4"/>
          <w:insideH w:val="none" w:color="FFFFFF" w:sz="0"/>
          <w:insideV w:val="none" w:color="FFFFFF" w:sz="0"/>
        </w:tblBorders>
      </w:tblPr>
      <w:tblGrid>
        <w:gridCol w:w="9360"/>
      </w:tblGrid>
      <w:tr>
        <w:tc>
          <w:tcPr>
            <w:tcW w:type="dxa" w:w="9360"/>
            <w:shd w:fill="FEFBF0" w:val="clear"/>
            <w:tcMar>
              <w:top w:type="dxa" w:w="160"/>
              <w:left w:type="dxa" w:w="220"/>
              <w:bottom w:type="dxa" w:w="160"/>
              <w:right w:type="dxa" w:w="220"/>
            </w:tcMar>
          </w:tcPr>
          <w:p>
            <w:pPr>
              <w:spacing w:after="100"/>
            </w:pPr>
            <w:r>
              <w:rPr>
                <w:rFonts w:ascii="Calibri" w:cs="Calibri" w:eastAsia="Calibri" w:hAnsi="Calibri"/>
                <w:b/>
                <w:bCs/>
                <w:color w:val="8B6508"/>
                <w:spacing w:val="40"/>
                <w:sz w:val="18"/>
                <w:szCs w:val="18"/>
              </w:rPr>
              <w:t xml:space="preserve">PRÉSERVATION DES PRÉSENTATIONS EXISTANTES</w:t>
            </w:r>
          </w:p>
          <w:p>
            <w:pPr>
              <w:spacing w:after="60" w:line="280"/>
              <w:jc w:val="both"/>
            </w:pPr>
            <w:r>
              <w:rPr>
                <w:rFonts w:ascii="Calibri" w:cs="Calibri" w:eastAsia="Calibri" w:hAnsi="Calibri"/>
                <w:color w:val="2D332F"/>
                <w:sz w:val="22"/>
                <w:szCs w:val="22"/>
              </w:rPr>
              <w:t xml:space="preserve">Les présentations déjà effectuées au MSHP s'appuient sur les maquettes initiales. L'évolution de l'écran de connexion doit rester cohérente avec ces présentations. La fidélité visuelle à la maquette demeure le critère central, seul le contenu textuel du sélecteur de profil est ajusté.</w:t>
            </w:r>
          </w:p>
        </w:tc>
      </w:tr>
    </w:tbl>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6. </w:t>
      </w:r>
      <w:r>
        <w:rPr>
          <w:rFonts w:ascii="Calibri" w:cs="Calibri" w:eastAsia="Calibri" w:hAnsi="Calibri"/>
          <w:b/>
          <w:bCs/>
          <w:color w:val="0A3622"/>
          <w:sz w:val="40"/>
          <w:szCs w:val="40"/>
        </w:rPr>
        <w:t xml:space="preserve">Mise en œuvre</w:t>
      </w:r>
    </w:p>
    <w:p>
      <w:pPr>
        <w:spacing w:after="40" w:before="200"/>
      </w:pPr>
      <w:r>
        <w:rPr>
          <w:rFonts w:ascii="Calibri" w:cs="Calibri" w:eastAsia="Calibri" w:hAnsi="Calibri"/>
          <w:b/>
          <w:bCs/>
          <w:color w:val="8B6508"/>
          <w:spacing w:val="40"/>
          <w:sz w:val="16"/>
          <w:szCs w:val="16"/>
        </w:rPr>
        <w:t xml:space="preserve">Plan d'implémentation</w:t>
      </w:r>
    </w:p>
    <w:p>
      <w:pPr>
        <w:spacing w:after="120" w:before="0" w:line="300"/>
        <w:jc w:val="both"/>
      </w:pPr>
      <w:r>
        <w:rPr>
          <w:rFonts w:ascii="Calibri" w:cs="Calibri" w:eastAsia="Calibri" w:hAnsi="Calibri"/>
          <w:color w:val="2D332F"/>
          <w:sz w:val="22"/>
          <w:szCs w:val="22"/>
        </w:rPr>
        <w:t xml:space="preserve">La mise en œuvre des évolutions décrites dans cet addendum s'effectue via un mini-cahier de prompts dédié, structuré en quatre phases comme le cahier initial.</w:t>
      </w:r>
    </w:p>
    <w:p>
      <w:pPr>
        <w:pStyle w:val="Heading2"/>
        <w:spacing w:after="120" w:before="360"/>
      </w:pPr>
      <w:r>
        <w:rPr>
          <w:rFonts w:ascii="Calibri" w:cs="Calibri" w:eastAsia="Calibri" w:hAnsi="Calibri"/>
          <w:b/>
          <w:bCs/>
          <w:color w:val="0F4A2E"/>
          <w:sz w:val="28"/>
          <w:szCs w:val="28"/>
        </w:rPr>
        <w:t xml:space="preserve">6.1  Phases d'implémentation</w:t>
      </w:r>
    </w:p>
    <w:p>
      <w:pPr>
        <w:pStyle w:val="ListParagraph"/>
        <w:numPr>
          <w:ilvl w:val="0"/>
          <w:numId w:val="2"/>
        </w:numPr>
        <w:spacing w:after="40" w:before="40" w:line="280"/>
      </w:pPr>
      <w:r>
        <w:rPr>
          <w:rFonts w:ascii="Calibri" w:cs="Calibri" w:eastAsia="Calibri" w:hAnsi="Calibri"/>
          <w:b/>
          <w:bCs/>
          <w:color w:val="0F4A2E"/>
          <w:sz w:val="22"/>
          <w:szCs w:val="22"/>
        </w:rPr>
        <w:t xml:space="preserve">Phase A — Fondations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Migrations des nouvelles tables (cmu_societe, cmu_convention_structure, cmu_commission_societe), modifications des tables existantes, enrichissement des enums.</w:t>
      </w:r>
    </w:p>
    <w:p>
      <w:pPr>
        <w:pStyle w:val="ListParagraph"/>
        <w:numPr>
          <w:ilvl w:val="0"/>
          <w:numId w:val="2"/>
        </w:numPr>
        <w:spacing w:after="40" w:before="40" w:line="280"/>
      </w:pPr>
      <w:r>
        <w:rPr>
          <w:rFonts w:ascii="Calibri" w:cs="Calibri" w:eastAsia="Calibri" w:hAnsi="Calibri"/>
          <w:b/>
          <w:bCs/>
          <w:color w:val="0F4A2E"/>
          <w:sz w:val="22"/>
          <w:szCs w:val="22"/>
        </w:rPr>
        <w:t xml:space="preserve">Phase B — Espace ministère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Écrans d'administration des sociétés et des structures conventionnées, mise à jour des comptes admin.</w:t>
      </w:r>
    </w:p>
    <w:p>
      <w:pPr>
        <w:pStyle w:val="ListParagraph"/>
        <w:numPr>
          <w:ilvl w:val="0"/>
          <w:numId w:val="2"/>
        </w:numPr>
        <w:spacing w:after="40" w:before="40" w:line="280"/>
      </w:pPr>
      <w:r>
        <w:rPr>
          <w:rFonts w:ascii="Calibri" w:cs="Calibri" w:eastAsia="Calibri" w:hAnsi="Calibri"/>
          <w:b/>
          <w:bCs/>
          <w:color w:val="0F4A2E"/>
          <w:sz w:val="22"/>
          <w:szCs w:val="22"/>
        </w:rPr>
        <w:t xml:space="preserve">Phase C — Espace Société CMU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Dashboard gérant, gestion points et agents, workflow de double validation, écran agent société.</w:t>
      </w:r>
    </w:p>
    <w:p>
      <w:pPr>
        <w:pStyle w:val="ListParagraph"/>
        <w:numPr>
          <w:ilvl w:val="0"/>
          <w:numId w:val="2"/>
        </w:numPr>
        <w:spacing w:after="40" w:before="40" w:line="280"/>
      </w:pPr>
      <w:r>
        <w:rPr>
          <w:rFonts w:ascii="Calibri" w:cs="Calibri" w:eastAsia="Calibri" w:hAnsi="Calibri"/>
          <w:b/>
          <w:bCs/>
          <w:color w:val="0F4A2E"/>
          <w:sz w:val="22"/>
          <w:szCs w:val="22"/>
        </w:rPr>
        <w:t xml:space="preserve">Phase D — Espace structures privées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Dashboards par sous-type, PEC spécialisées par catégorie, workflow pharmacie avec prescription.</w:t>
      </w:r>
    </w:p>
    <w:p>
      <w:pPr>
        <w:pStyle w:val="Heading2"/>
        <w:spacing w:after="120" w:before="360"/>
      </w:pPr>
      <w:r>
        <w:rPr>
          <w:rFonts w:ascii="Calibri" w:cs="Calibri" w:eastAsia="Calibri" w:hAnsi="Calibri"/>
          <w:b/>
          <w:bCs/>
          <w:color w:val="0F4A2E"/>
          <w:sz w:val="28"/>
          <w:szCs w:val="28"/>
        </w:rPr>
        <w:t xml:space="preserve">6.2  Compatibilité avec l'existant</w:t>
      </w:r>
    </w:p>
    <w:p>
      <w:pPr>
        <w:spacing w:after="120" w:before="0" w:line="300"/>
        <w:jc w:val="both"/>
      </w:pPr>
      <w:r>
        <w:rPr>
          <w:rFonts w:ascii="Calibri" w:cs="Calibri" w:eastAsia="Calibri" w:hAnsi="Calibri"/>
          <w:color w:val="2D332F"/>
          <w:sz w:val="22"/>
          <w:szCs w:val="22"/>
        </w:rPr>
        <w:t xml:space="preserve">Toutes les modifications sont rétrocompatibles avec le code et les données existantes :</w:t>
      </w:r>
    </w:p>
    <w:p>
      <w:pPr>
        <w:pStyle w:val="ListParagraph"/>
        <w:numPr>
          <w:ilvl w:val="0"/>
          <w:numId w:val="2"/>
        </w:numPr>
        <w:spacing w:after="40" w:before="40" w:line="280"/>
      </w:pPr>
      <w:r>
        <w:rPr>
          <w:rFonts w:ascii="Calibri" w:cs="Calibri" w:eastAsia="Calibri" w:hAnsi="Calibri"/>
          <w:color w:val="2D332F"/>
          <w:sz w:val="22"/>
          <w:szCs w:val="22"/>
        </w:rPr>
        <w:t xml:space="preserve">Les hôpitaux conservent leur fonctionnement actuel (nature='SOINS', categories_actes_autorisees=NULL)</w:t>
      </w:r>
    </w:p>
    <w:p>
      <w:pPr>
        <w:pStyle w:val="ListParagraph"/>
        <w:numPr>
          <w:ilvl w:val="0"/>
          <w:numId w:val="2"/>
        </w:numPr>
        <w:spacing w:after="40" w:before="40" w:line="280"/>
      </w:pPr>
      <w:r>
        <w:rPr>
          <w:rFonts w:ascii="Calibri" w:cs="Calibri" w:eastAsia="Calibri" w:hAnsi="Calibri"/>
          <w:color w:val="2D332F"/>
          <w:sz w:val="22"/>
          <w:szCs w:val="22"/>
        </w:rPr>
        <w:t xml:space="preserve">Les dossiers existants reçoivent une valeur par défaut origine_enrolement='HOPITAL' à la migration</w:t>
      </w:r>
    </w:p>
    <w:p>
      <w:pPr>
        <w:pStyle w:val="ListParagraph"/>
        <w:numPr>
          <w:ilvl w:val="0"/>
          <w:numId w:val="2"/>
        </w:numPr>
        <w:spacing w:after="40" w:before="40" w:line="280"/>
      </w:pPr>
      <w:r>
        <w:rPr>
          <w:rFonts w:ascii="Calibri" w:cs="Calibri" w:eastAsia="Calibri" w:hAnsi="Calibri"/>
          <w:color w:val="2D332F"/>
          <w:sz w:val="22"/>
          <w:szCs w:val="22"/>
        </w:rPr>
        <w:t xml:space="preserve">Les PEC existantes ont prescription_origine_id=NULL par défaut</w:t>
      </w:r>
    </w:p>
    <w:p>
      <w:pPr>
        <w:pStyle w:val="ListParagraph"/>
        <w:numPr>
          <w:ilvl w:val="0"/>
          <w:numId w:val="2"/>
        </w:numPr>
        <w:spacing w:after="40" w:before="40" w:line="280"/>
      </w:pPr>
      <w:r>
        <w:rPr>
          <w:rFonts w:ascii="Calibri" w:cs="Calibri" w:eastAsia="Calibri" w:hAnsi="Calibri"/>
          <w:color w:val="2D332F"/>
          <w:sz w:val="22"/>
          <w:szCs w:val="22"/>
        </w:rPr>
        <w:t xml:space="preserve">Le système de génération IUS s'adapte automatiquement à la plage de codes 5000-9999</w:t>
      </w:r>
    </w:p>
    <w:p>
      <w:pPr>
        <w:pStyle w:val="Heading2"/>
        <w:spacing w:after="120" w:before="360"/>
      </w:pPr>
      <w:r>
        <w:rPr>
          <w:rFonts w:ascii="Calibri" w:cs="Calibri" w:eastAsia="Calibri" w:hAnsi="Calibri"/>
          <w:b/>
          <w:bCs/>
          <w:color w:val="0F4A2E"/>
          <w:sz w:val="28"/>
          <w:szCs w:val="28"/>
        </w:rPr>
        <w:t xml:space="preserve">6.3  Validation requise avant développement</w:t>
      </w:r>
    </w:p>
    <w:p>
      <w:pPr>
        <w:spacing w:after="120" w:before="0" w:line="300"/>
        <w:jc w:val="both"/>
      </w:pPr>
      <w:r>
        <w:rPr>
          <w:rFonts w:ascii="Calibri" w:cs="Calibri" w:eastAsia="Calibri" w:hAnsi="Calibri"/>
          <w:color w:val="2D332F"/>
          <w:sz w:val="22"/>
          <w:szCs w:val="22"/>
        </w:rPr>
        <w:t xml:space="preserve">Avant de lancer les prompts d'implémentation, le MSHP doit valider :</w:t>
      </w:r>
    </w:p>
    <w:p>
      <w:pPr>
        <w:pStyle w:val="ListParagraph"/>
        <w:numPr>
          <w:ilvl w:val="0"/>
          <w:numId w:val="3"/>
        </w:numPr>
        <w:spacing w:after="40" w:before="40" w:line="280"/>
      </w:pPr>
      <w:r>
        <w:rPr>
          <w:rFonts w:ascii="Calibri" w:cs="Calibri" w:eastAsia="Calibri" w:hAnsi="Calibri"/>
          <w:color w:val="2D332F"/>
          <w:sz w:val="22"/>
          <w:szCs w:val="22"/>
        </w:rPr>
        <w:t xml:space="preserve">Le taux de commission par défaut (proposition : 5%)</w:t>
      </w:r>
    </w:p>
    <w:p>
      <w:pPr>
        <w:pStyle w:val="ListParagraph"/>
        <w:numPr>
          <w:ilvl w:val="0"/>
          <w:numId w:val="3"/>
        </w:numPr>
        <w:spacing w:after="40" w:before="40" w:line="280"/>
      </w:pPr>
      <w:r>
        <w:rPr>
          <w:rFonts w:ascii="Calibri" w:cs="Calibri" w:eastAsia="Calibri" w:hAnsi="Calibri"/>
          <w:color w:val="2D332F"/>
          <w:sz w:val="22"/>
          <w:szCs w:val="22"/>
        </w:rPr>
        <w:t xml:space="preserve">Le seuil d'alerte anti-fraude (proposition : taux de validation &lt; 70% sur 3 mois)</w:t>
      </w:r>
    </w:p>
    <w:p>
      <w:pPr>
        <w:pStyle w:val="ListParagraph"/>
        <w:numPr>
          <w:ilvl w:val="0"/>
          <w:numId w:val="3"/>
        </w:numPr>
        <w:spacing w:after="40" w:before="40" w:line="280"/>
      </w:pPr>
      <w:r>
        <w:rPr>
          <w:rFonts w:ascii="Calibri" w:cs="Calibri" w:eastAsia="Calibri" w:hAnsi="Calibri"/>
          <w:color w:val="2D332F"/>
          <w:sz w:val="22"/>
          <w:szCs w:val="22"/>
        </w:rPr>
        <w:t xml:space="preserve">La possibilité ou non pour le ministère de transférer administrativement des adhérents entre Sociétés CMU</w:t>
      </w:r>
    </w:p>
    <w:p>
      <w:pPr>
        <w:pStyle w:val="ListParagraph"/>
        <w:numPr>
          <w:ilvl w:val="0"/>
          <w:numId w:val="3"/>
        </w:numPr>
        <w:spacing w:after="40" w:before="40" w:line="280"/>
      </w:pPr>
      <w:r>
        <w:rPr>
          <w:rFonts w:ascii="Calibri" w:cs="Calibri" w:eastAsia="Calibri" w:hAnsi="Calibri"/>
          <w:color w:val="2D332F"/>
          <w:sz w:val="22"/>
          <w:szCs w:val="22"/>
        </w:rPr>
        <w:t xml:space="preserve">Le mode de validation des conventions structures privées (signature électronique, document papier scanné, etc.)</w:t>
      </w:r>
    </w:p>
    <w:p>
      <w:pPr>
        <w:pStyle w:val="ListParagraph"/>
        <w:numPr>
          <w:ilvl w:val="0"/>
          <w:numId w:val="3"/>
        </w:numPr>
        <w:spacing w:after="40" w:before="40" w:line="280"/>
      </w:pPr>
      <w:r>
        <w:rPr>
          <w:rFonts w:ascii="Calibri" w:cs="Calibri" w:eastAsia="Calibri" w:hAnsi="Calibri"/>
          <w:color w:val="2D332F"/>
          <w:sz w:val="22"/>
          <w:szCs w:val="22"/>
        </w:rPr>
        <w:t xml:space="preserve">L'arborescence des espaces utilisateurs (URLs, dénomination des sections)</w:t>
      </w:r>
    </w:p>
    <w:tbl>
      <w:tblPr>
        <w:tblW w:type="dxa" w:w="9360"/>
        <w:tblBorders>
          <w:top w:val="single" w:color="F2DFA4" w:sz="4"/>
          <w:left w:val="single" w:color="C9A227" w:sz="24"/>
          <w:bottom w:val="single" w:color="F2DFA4" w:sz="4"/>
          <w:right w:val="single" w:color="F2DFA4" w:sz="4"/>
          <w:insideH w:val="none" w:color="FFFFFF" w:sz="0"/>
          <w:insideV w:val="none" w:color="FFFFFF" w:sz="0"/>
        </w:tblBorders>
      </w:tblPr>
      <w:tblGrid>
        <w:gridCol w:w="9360"/>
      </w:tblGrid>
      <w:tr>
        <w:tc>
          <w:tcPr>
            <w:tcW w:type="dxa" w:w="9360"/>
            <w:shd w:fill="FEFBF0" w:val="clear"/>
            <w:tcMar>
              <w:top w:type="dxa" w:w="160"/>
              <w:left w:type="dxa" w:w="220"/>
              <w:bottom w:type="dxa" w:w="160"/>
              <w:right w:type="dxa" w:w="220"/>
            </w:tcMar>
          </w:tcPr>
          <w:p>
            <w:pPr>
              <w:spacing w:after="100"/>
            </w:pPr>
            <w:r>
              <w:rPr>
                <w:rFonts w:ascii="Calibri" w:cs="Calibri" w:eastAsia="Calibri" w:hAnsi="Calibri"/>
                <w:b/>
                <w:bCs/>
                <w:color w:val="8B6508"/>
                <w:spacing w:val="40"/>
                <w:sz w:val="18"/>
                <w:szCs w:val="18"/>
              </w:rPr>
              <w:t xml:space="preserve">MÉTHODE DE TRAVAIL</w:t>
            </w:r>
          </w:p>
          <w:p>
            <w:pPr>
              <w:spacing w:after="60" w:line="280"/>
              <w:jc w:val="both"/>
            </w:pPr>
            <w:r>
              <w:rPr>
                <w:rFonts w:ascii="Calibri" w:cs="Calibri" w:eastAsia="Calibri" w:hAnsi="Calibri"/>
                <w:color w:val="2D332F"/>
                <w:sz w:val="22"/>
                <w:szCs w:val="22"/>
              </w:rPr>
              <w:t xml:space="preserve">Comme pour la spécification v1.0, l'implémentation suit la discipline 'un prompt = une session = un commit'. Le mini-cahier de prompts associé à cet addendum (15 prompts en 4 phases) est conçu pour s'enchaîner après la fin du cahier initial (post P11.3 et corrections de recette).</w:t>
            </w:r>
          </w:p>
        </w:tc>
      </w:tr>
    </w:tbl>
    <w:p>
      <w:pPr>
        <w:spacing w:after="0"/>
      </w:pPr>
      <w:r>
        <w:rPr>
          <w:sz w:val="12"/>
          <w:szCs w:val="12"/>
        </w:rPr>
        <w:t xml:space="preserve"/>
      </w:r>
    </w:p>
    <w:p>
      <w:pPr>
        <w:pBdr>
          <w:top w:val="single" w:color="C9A227" w:sz="12" w:space="4"/>
        </w:pBdr>
        <w:spacing w:after="240" w:before="240"/>
      </w:pPr>
      <w:r>
        <w:rPr>
          <w:rFonts w:ascii="Calibri" w:cs="Calibri" w:eastAsia="Calibri" w:hAnsi="Calibri"/>
          <w:sz w:val="20"/>
          <w:szCs w:val="20"/>
        </w:rPr>
        <w:t xml:space="preserve"/>
      </w:r>
    </w:p>
    <w:p>
      <w:pPr>
        <w:spacing w:after="80"/>
        <w:jc w:val="center"/>
      </w:pPr>
      <w:r>
        <w:rPr>
          <w:rFonts w:ascii="Calibri" w:cs="Calibri" w:eastAsia="Calibri" w:hAnsi="Calibri"/>
          <w:i/>
          <w:iCs/>
          <w:color w:val="6E736F"/>
          <w:sz w:val="20"/>
          <w:szCs w:val="20"/>
        </w:rPr>
        <w:t xml:space="preserve">Fin de l'addendum v1.1</w:t>
      </w:r>
    </w:p>
    <w:p>
      <w:pPr>
        <w:spacing w:after="0"/>
        <w:jc w:val="center"/>
      </w:pPr>
      <w:r>
        <w:rPr>
          <w:rFonts w:ascii="Calibri" w:cs="Calibri" w:eastAsia="Calibri" w:hAnsi="Calibri"/>
          <w:i/>
          <w:iCs/>
          <w:color w:val="8A8F8C"/>
          <w:sz w:val="16"/>
          <w:szCs w:val="16"/>
        </w:rPr>
        <w:t xml:space="preserve">À soumettre au MSHP pour validation</w:t>
      </w:r>
    </w:p>
    <w:sectPr>
      <w:headerReference w:type="default" r:id="rId7"/>
      <w:footerReference w:type="default" r:id="rId8"/>
      <w:pgSz w:w="12240" w:h="15840" w:orient="portrait"/>
      <w:pgMar w:top="144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227" w:sz="4" w:space="2"/>
      </w:pBdr>
      <w:tabs>
        <w:tab w:val="center" w:pos="4680"/>
        <w:tab w:val="right" w:pos="9360"/>
      </w:tabs>
    </w:pPr>
    <w:r>
      <w:rPr>
        <w:rFonts w:ascii="Calibri" w:cs="Calibri" w:eastAsia="Calibri" w:hAnsi="Calibri"/>
        <w:color w:val="6E736F"/>
        <w:sz w:val="14"/>
        <w:szCs w:val="14"/>
      </w:rPr>
      <w:t xml:space="preserve">OLYMPE  ·  e-MSanté SARL</w:t>
    </w:r>
    <w:r>
      <w:rPr>
        <w:rFonts w:ascii="Calibri" w:cs="Calibri" w:eastAsia="Calibri" w:hAnsi="Calibri"/>
        <w:sz w:val="14"/>
        <w:szCs w:val="14"/>
      </w:rPr>
      <w:t xml:space="preserve">	</w:t>
    </w:r>
    <w:r>
      <w:rPr>
        <w:rFonts w:ascii="Calibri" w:cs="Calibri" w:eastAsia="Calibri" w:hAnsi="Calibri"/>
        <w:color w:val="6E736F"/>
        <w:sz w:val="14"/>
        <w:szCs w:val="14"/>
      </w:rPr>
      <w:t xml:space="preserve">Page </w:t>
    </w:r>
    <w:r>
      <w:rPr>
        <w:rFonts w:ascii="Calibri" w:cs="Calibri" w:eastAsia="Calibri" w:hAnsi="Calibri"/>
        <w:b/>
        <w:bCs/>
        <w:color w:val="0F4A2E"/>
        <w:sz w:val="14"/>
        <w:szCs w:val="14"/>
      </w:rPr>
      <w:fldChar w:fldCharType="begin"/>
      <w:instrText xml:space="preserve">PAGE</w:instrText>
      <w:fldChar w:fldCharType="separate"/>
      <w:fldChar w:fldCharType="end"/>
    </w:r>
    <w:r>
      <w:rPr>
        <w:rFonts w:ascii="Calibri" w:cs="Calibri" w:eastAsia="Calibri" w:hAnsi="Calibri"/>
        <w:color w:val="6E736F"/>
        <w:sz w:val="14"/>
        <w:szCs w:val="14"/>
      </w:rPr>
      <w:t xml:space="preserve"> / </w:t>
    </w:r>
    <w:r>
      <w:rPr>
        <w:rFonts w:ascii="Calibri" w:cs="Calibri" w:eastAsia="Calibri" w:hAnsi="Calibri"/>
        <w:color w:val="6E736F"/>
        <w:sz w:val="14"/>
        <w:szCs w:val="14"/>
      </w:rPr>
      <w:fldChar w:fldCharType="begin"/>
      <w:instrText xml:space="preserve">NUMPAGES</w:instrText>
      <w:fldChar w:fldCharType="separate"/>
      <w:fldChar w:fldCharType="end"/>
    </w:r>
    <w:r>
      <w:rPr>
        <w:rFonts w:ascii="Calibri" w:cs="Calibri" w:eastAsia="Calibri" w:hAnsi="Calibri"/>
        <w:sz w:val="14"/>
        <w:szCs w:val="14"/>
      </w:rPr>
      <w:t xml:space="preserve">	</w:t>
    </w:r>
    <w:r>
      <w:rPr>
        <w:rFonts w:ascii="Calibri" w:cs="Calibri" w:eastAsia="Calibri" w:hAnsi="Calibri"/>
        <w:i/>
        <w:iCs/>
        <w:color w:val="6E736F"/>
        <w:sz w:val="14"/>
        <w:szCs w:val="14"/>
      </w:rPr>
      <w:t xml:space="preserve">République de Guinée · MSHP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227" w:sz="4" w:space="2"/>
      </w:pBdr>
      <w:tabs>
        <w:tab w:val="right" w:pos="9360"/>
      </w:tabs>
      <w:spacing w:after="120"/>
    </w:pPr>
    <w:r>
      <w:rPr>
        <w:rFonts w:ascii="Calibri" w:cs="Calibri" w:eastAsia="Calibri" w:hAnsi="Calibri"/>
        <w:b/>
        <w:bCs/>
        <w:color w:val="0F4A2E"/>
        <w:spacing w:val="60"/>
        <w:sz w:val="16"/>
        <w:szCs w:val="16"/>
      </w:rPr>
      <w:t xml:space="preserve">CMU GUINÉE</w:t>
    </w:r>
    <w:r>
      <w:rPr>
        <w:rFonts w:ascii="Calibri" w:cs="Calibri" w:eastAsia="Calibri" w:hAnsi="Calibri"/>
        <w:color w:val="6E736F"/>
        <w:sz w:val="16"/>
        <w:szCs w:val="16"/>
      </w:rPr>
      <w:t xml:space="preserve">  ·  Addendum v1.1</w:t>
    </w:r>
    <w:r>
      <w:rPr>
        <w:rFonts w:ascii="Calibri" w:cs="Calibri" w:eastAsia="Calibri" w:hAnsi="Calibri"/>
        <w:sz w:val="16"/>
        <w:szCs w:val="16"/>
      </w:rPr>
      <w:t xml:space="preserve">	</w:t>
    </w:r>
    <w:r>
      <w:rPr>
        <w:rFonts w:ascii="Calibri" w:cs="Calibri" w:eastAsia="Calibri" w:hAnsi="Calibri"/>
        <w:i/>
        <w:iCs/>
        <w:color w:val="8B6508"/>
        <w:sz w:val="14"/>
        <w:szCs w:val="14"/>
      </w:rPr>
      <w:t xml:space="preserve">Confidentiel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color w:val="B8860B"/>
      </w:rPr>
    </w:lvl>
  </w:abstractNum>
  <w:abstractNum w:abstractNumId="3" w15:restartNumberingAfterBreak="0">
    <w:multiLevelType w:val="hybridMultilevel"/>
    <w:lvl w:ilvl="0" w15:tentative="1">
      <w:start w:val="1"/>
      <w:numFmt w:val="decimal"/>
      <w:lvlText w:val="%1."/>
      <w:lvlJc w:val="left"/>
      <w:pPr>
        <w:ind w:left="720" w:hanging="360"/>
      </w:pPr>
      <w:rPr>
        <w:b/>
        <w:bCs/>
        <w:color w:val="B8860B"/>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80"/>
      <w:outlineLvl w:val="0"/>
    </w:pPr>
    <w:rPr>
      <w:rFonts w:ascii="Calibri" w:cs="Calibri" w:eastAsia="Calibri" w:hAnsi="Calibri"/>
      <w:b/>
      <w:bCs/>
      <w:color w:val="0A3622"/>
      <w:sz w:val="40"/>
      <w:szCs w:val="40"/>
    </w:rPr>
  </w:style>
  <w:style w:type="paragraph" w:styleId="Heading2">
    <w:name w:val="Heading 2"/>
    <w:basedOn w:val="Normal"/>
    <w:next w:val="Normal"/>
    <w:qFormat/>
    <w:pPr>
      <w:spacing w:after="120" w:before="360"/>
      <w:outlineLvl w:val="1"/>
    </w:pPr>
    <w:rPr>
      <w:rFonts w:ascii="Calibri" w:cs="Calibri" w:eastAsia="Calibri" w:hAnsi="Calibri"/>
      <w:b/>
      <w:bCs/>
      <w:color w:val="0F4A2E"/>
      <w:sz w:val="28"/>
      <w:szCs w:val="28"/>
    </w:rPr>
  </w:style>
  <w:style w:type="paragraph" w:styleId="Heading3">
    <w:name w:val="Heading 3"/>
    <w:basedOn w:val="Normal"/>
    <w:next w:val="Normal"/>
    <w:qFormat/>
    <w:pPr>
      <w:spacing w:after="100" w:before="240"/>
      <w:outlineLvl w:val="2"/>
    </w:pPr>
    <w:rPr>
      <w:rFonts w:ascii="Calibri" w:cs="Calibri" w:eastAsia="Calibri" w:hAnsi="Calibri"/>
      <w:b/>
      <w:bCs/>
      <w:color w:val="1A5D3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CMU Guinée — Addendum v1.1</dc:title>
  <dc:creator>OLYMPE · e-MSanté SARL</dc:creator>
  <dc:description>Écosystème de collecte et structures conventionnées</dc:description>
  <cp:lastModifiedBy>Un-named</cp:lastModifiedBy>
  <cp:revision>1</cp:revision>
  <dcterms:created xsi:type="dcterms:W3CDTF">2026-05-11T04:24:53.278Z</dcterms:created>
  <dcterms:modified xsi:type="dcterms:W3CDTF">2026-05-11T04:24:53.280Z</dcterms:modified>
</cp:coreProperties>
</file>

<file path=docProps/custom.xml><?xml version="1.0" encoding="utf-8"?>
<Properties xmlns="http://schemas.openxmlformats.org/officeDocument/2006/custom-properties" xmlns:vt="http://schemas.openxmlformats.org/officeDocument/2006/docPropsVTypes"/>
</file>